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B8A2D" w14:textId="552DCA46" w:rsidR="00584B62" w:rsidRPr="00577522" w:rsidRDefault="00584B62" w:rsidP="00577522">
      <w:pPr>
        <w:jc w:val="center"/>
        <w:rPr>
          <w:b/>
          <w:sz w:val="28"/>
          <w:szCs w:val="28"/>
          <w:lang w:val="en-AU"/>
        </w:rPr>
      </w:pPr>
      <w:r w:rsidRPr="00577522">
        <w:rPr>
          <w:b/>
          <w:sz w:val="28"/>
          <w:szCs w:val="28"/>
          <w:lang w:val="en-AU"/>
        </w:rPr>
        <w:t>Why Investors Care?</w:t>
      </w:r>
    </w:p>
    <w:p w14:paraId="3CC56CEA" w14:textId="41FEAFC1" w:rsidR="00312F2D" w:rsidRPr="00577522" w:rsidRDefault="00584B62" w:rsidP="00577522">
      <w:pPr>
        <w:jc w:val="center"/>
        <w:rPr>
          <w:b/>
          <w:sz w:val="28"/>
          <w:szCs w:val="28"/>
          <w:lang w:val="en-AU"/>
        </w:rPr>
      </w:pPr>
      <w:r w:rsidRPr="00577522">
        <w:rPr>
          <w:b/>
          <w:sz w:val="28"/>
          <w:szCs w:val="28"/>
          <w:lang w:val="en-AU"/>
        </w:rPr>
        <w:t>GRI Global Reporting Standards and Tax Transparency</w:t>
      </w:r>
    </w:p>
    <w:p w14:paraId="7F01613C" w14:textId="72FC3AD9" w:rsidR="00584B62" w:rsidRPr="00CD176D" w:rsidRDefault="00584B62">
      <w:pPr>
        <w:rPr>
          <w:sz w:val="16"/>
          <w:szCs w:val="16"/>
          <w:lang w:val="en-AU"/>
        </w:rPr>
      </w:pPr>
    </w:p>
    <w:p w14:paraId="31E67B73" w14:textId="3FA5338B" w:rsidR="004932D7" w:rsidRDefault="00780697" w:rsidP="004932D7">
      <w:pPr>
        <w:rPr>
          <w:lang w:val="en-AU"/>
        </w:rPr>
      </w:pPr>
      <w:r>
        <w:rPr>
          <w:lang w:val="en-AU"/>
        </w:rPr>
        <w:t xml:space="preserve">Greater transparency </w:t>
      </w:r>
      <w:r w:rsidR="009226EB">
        <w:rPr>
          <w:lang w:val="en-AU"/>
        </w:rPr>
        <w:t>will enable better investment decisions and protect</w:t>
      </w:r>
      <w:r>
        <w:rPr>
          <w:lang w:val="en-AU"/>
        </w:rPr>
        <w:t xml:space="preserve"> </w:t>
      </w:r>
      <w:r w:rsidR="00F44D43">
        <w:rPr>
          <w:lang w:val="en-AU"/>
        </w:rPr>
        <w:t xml:space="preserve">long-term </w:t>
      </w:r>
      <w:r>
        <w:rPr>
          <w:lang w:val="en-AU"/>
        </w:rPr>
        <w:t xml:space="preserve">returns. </w:t>
      </w:r>
      <w:r w:rsidR="00E35666" w:rsidRPr="00FA23DD">
        <w:rPr>
          <w:b/>
          <w:i/>
          <w:u w:val="single"/>
          <w:lang w:val="en-AU"/>
        </w:rPr>
        <w:t xml:space="preserve">Investors </w:t>
      </w:r>
      <w:r w:rsidR="004932D7" w:rsidRPr="00FA23DD">
        <w:rPr>
          <w:b/>
          <w:i/>
          <w:u w:val="single"/>
          <w:lang w:val="en-AU"/>
        </w:rPr>
        <w:t>should</w:t>
      </w:r>
      <w:r w:rsidR="00E35666" w:rsidRPr="00FA23DD">
        <w:rPr>
          <w:b/>
          <w:i/>
          <w:u w:val="single"/>
          <w:lang w:val="en-AU"/>
        </w:rPr>
        <w:t xml:space="preserve"> </w:t>
      </w:r>
      <w:r w:rsidR="00FA23DD" w:rsidRPr="00FA23DD">
        <w:rPr>
          <w:b/>
          <w:i/>
          <w:u w:val="single"/>
          <w:lang w:val="en-AU"/>
        </w:rPr>
        <w:t>submit comments to support</w:t>
      </w:r>
      <w:r w:rsidR="00E81D9D" w:rsidRPr="00FA23DD">
        <w:rPr>
          <w:b/>
          <w:i/>
          <w:u w:val="single"/>
          <w:lang w:val="en-AU"/>
        </w:rPr>
        <w:t xml:space="preserve"> a significant</w:t>
      </w:r>
      <w:r w:rsidR="004932D7" w:rsidRPr="00FA23DD">
        <w:rPr>
          <w:b/>
          <w:i/>
          <w:u w:val="single"/>
          <w:lang w:val="en-AU"/>
        </w:rPr>
        <w:t xml:space="preserve"> proposed</w:t>
      </w:r>
      <w:r w:rsidR="00E81D9D" w:rsidRPr="00FA23DD">
        <w:rPr>
          <w:b/>
          <w:i/>
          <w:u w:val="single"/>
          <w:lang w:val="en-AU"/>
        </w:rPr>
        <w:t xml:space="preserve"> increase in transparency on tax payments</w:t>
      </w:r>
      <w:r w:rsidR="00FA23DD" w:rsidRPr="00FA23DD">
        <w:rPr>
          <w:b/>
          <w:i/>
          <w:u w:val="single"/>
          <w:lang w:val="en-AU"/>
        </w:rPr>
        <w:t>.</w:t>
      </w:r>
      <w:r w:rsidR="00FA23DD" w:rsidRPr="00FA23DD">
        <w:rPr>
          <w:lang w:val="en-AU"/>
        </w:rPr>
        <w:t xml:space="preserve"> </w:t>
      </w:r>
      <w:r w:rsidR="00FA23DD">
        <w:rPr>
          <w:lang w:val="en-AU"/>
        </w:rPr>
        <w:t xml:space="preserve">Submit comments through this </w:t>
      </w:r>
      <w:hyperlink r:id="rId6" w:history="1">
        <w:r w:rsidR="00FA23DD" w:rsidRPr="00173506">
          <w:rPr>
            <w:rStyle w:val="Hyperlink"/>
            <w:lang w:val="en-AU"/>
          </w:rPr>
          <w:t>link</w:t>
        </w:r>
      </w:hyperlink>
      <w:r w:rsidR="00FA23DD">
        <w:rPr>
          <w:lang w:val="en-AU"/>
        </w:rPr>
        <w:t xml:space="preserve"> before the </w:t>
      </w:r>
      <w:r w:rsidR="00FA23DD" w:rsidRPr="00D408A4">
        <w:rPr>
          <w:lang w:val="en-AU"/>
        </w:rPr>
        <w:t>15 March deadline</w:t>
      </w:r>
      <w:r w:rsidR="00FA23DD">
        <w:rPr>
          <w:lang w:val="en-AU"/>
        </w:rPr>
        <w:t xml:space="preserve"> to secure new</w:t>
      </w:r>
      <w:r w:rsidR="00D408A4">
        <w:rPr>
          <w:lang w:val="en-AU"/>
        </w:rPr>
        <w:t xml:space="preserve"> proposed</w:t>
      </w:r>
      <w:r w:rsidR="00FA23DD">
        <w:rPr>
          <w:lang w:val="en-AU"/>
        </w:rPr>
        <w:t xml:space="preserve"> GRI standards for increased tax transparency. Brief statements of support are all that is required</w:t>
      </w:r>
      <w:r w:rsidR="00F44D43">
        <w:rPr>
          <w:lang w:val="en-AU"/>
        </w:rPr>
        <w:t xml:space="preserve">; </w:t>
      </w:r>
      <w:r w:rsidR="00FA23DD">
        <w:rPr>
          <w:lang w:val="en-AU"/>
        </w:rPr>
        <w:t xml:space="preserve">suggestions to facilitate a </w:t>
      </w:r>
      <w:r w:rsidR="00D408A4">
        <w:rPr>
          <w:lang w:val="en-AU"/>
        </w:rPr>
        <w:t>rapid</w:t>
      </w:r>
      <w:r w:rsidR="00FA23DD">
        <w:rPr>
          <w:lang w:val="en-AU"/>
        </w:rPr>
        <w:t xml:space="preserve"> response </w:t>
      </w:r>
      <w:r w:rsidR="00F44D43">
        <w:rPr>
          <w:lang w:val="en-AU"/>
        </w:rPr>
        <w:t>are available</w:t>
      </w:r>
      <w:r w:rsidR="00FA23DD">
        <w:rPr>
          <w:lang w:val="en-AU"/>
        </w:rPr>
        <w:t xml:space="preserve"> </w:t>
      </w:r>
      <w:hyperlink r:id="rId7" w:history="1">
        <w:r w:rsidR="00FA23DD" w:rsidRPr="00173506">
          <w:rPr>
            <w:rStyle w:val="Hyperlink"/>
            <w:lang w:val="en-AU"/>
          </w:rPr>
          <w:t>here</w:t>
        </w:r>
      </w:hyperlink>
      <w:r w:rsidR="00FA23DD">
        <w:rPr>
          <w:lang w:val="en-AU"/>
        </w:rPr>
        <w:t>.</w:t>
      </w:r>
    </w:p>
    <w:p w14:paraId="0418DF90" w14:textId="77777777" w:rsidR="004932D7" w:rsidRPr="00CD176D" w:rsidRDefault="004932D7" w:rsidP="004932D7">
      <w:pPr>
        <w:rPr>
          <w:sz w:val="16"/>
          <w:szCs w:val="16"/>
          <w:lang w:val="en-AU"/>
        </w:rPr>
      </w:pPr>
    </w:p>
    <w:p w14:paraId="22E142A1" w14:textId="7581732A" w:rsidR="00D408A4" w:rsidRDefault="00780697">
      <w:pPr>
        <w:rPr>
          <w:lang w:val="en-AU"/>
        </w:rPr>
      </w:pPr>
      <w:r>
        <w:rPr>
          <w:lang w:val="en-AU"/>
        </w:rPr>
        <w:t>A</w:t>
      </w:r>
      <w:r w:rsidR="00623FC6">
        <w:rPr>
          <w:lang w:val="en-AU"/>
        </w:rPr>
        <w:t xml:space="preserve">ggressive tax avoidance </w:t>
      </w:r>
      <w:r w:rsidR="009226EB">
        <w:rPr>
          <w:lang w:val="en-AU"/>
        </w:rPr>
        <w:t>is estimated to cause global revenue losses of $500 billion per year. Recent national and global efforts on tax avoidance have resulted in increased investor scrutiny</w:t>
      </w:r>
      <w:r w:rsidR="00F44D43">
        <w:rPr>
          <w:lang w:val="en-AU"/>
        </w:rPr>
        <w:t xml:space="preserve">, </w:t>
      </w:r>
      <w:r w:rsidR="00465A3B">
        <w:rPr>
          <w:lang w:val="en-AU"/>
        </w:rPr>
        <w:t>heightened</w:t>
      </w:r>
      <w:r w:rsidR="00F44D43">
        <w:rPr>
          <w:lang w:val="en-AU"/>
        </w:rPr>
        <w:t xml:space="preserve"> risk</w:t>
      </w:r>
      <w:r w:rsidR="00465A3B">
        <w:rPr>
          <w:lang w:val="en-AU"/>
        </w:rPr>
        <w:t>s</w:t>
      </w:r>
      <w:r w:rsidR="009226EB">
        <w:rPr>
          <w:lang w:val="en-AU"/>
        </w:rPr>
        <w:t xml:space="preserve"> and call</w:t>
      </w:r>
      <w:r w:rsidR="00F44D43">
        <w:rPr>
          <w:lang w:val="en-AU"/>
        </w:rPr>
        <w:t>s</w:t>
      </w:r>
      <w:r w:rsidR="009226EB">
        <w:rPr>
          <w:lang w:val="en-AU"/>
        </w:rPr>
        <w:t xml:space="preserve"> for greater transparency on </w:t>
      </w:r>
      <w:r w:rsidR="00F44D43">
        <w:rPr>
          <w:lang w:val="en-AU"/>
        </w:rPr>
        <w:t xml:space="preserve">company </w:t>
      </w:r>
      <w:r w:rsidR="009226EB">
        <w:rPr>
          <w:lang w:val="en-AU"/>
        </w:rPr>
        <w:t xml:space="preserve">tax practices. </w:t>
      </w:r>
    </w:p>
    <w:p w14:paraId="626EF55E" w14:textId="77777777" w:rsidR="00D408A4" w:rsidRPr="00CD176D" w:rsidRDefault="00D408A4">
      <w:pPr>
        <w:rPr>
          <w:sz w:val="16"/>
          <w:szCs w:val="16"/>
          <w:lang w:val="en-AU"/>
        </w:rPr>
      </w:pPr>
    </w:p>
    <w:p w14:paraId="516A8101" w14:textId="06477C50" w:rsidR="00584B62" w:rsidRDefault="009226EB">
      <w:pPr>
        <w:rPr>
          <w:lang w:val="en-AU"/>
        </w:rPr>
      </w:pPr>
      <w:r>
        <w:rPr>
          <w:lang w:val="en-AU"/>
        </w:rPr>
        <w:t>A</w:t>
      </w:r>
      <w:r w:rsidR="00780697">
        <w:rPr>
          <w:lang w:val="en-AU"/>
        </w:rPr>
        <w:t xml:space="preserve">ppropriate </w:t>
      </w:r>
      <w:r w:rsidR="00584B62">
        <w:rPr>
          <w:lang w:val="en-AU"/>
        </w:rPr>
        <w:t xml:space="preserve">tax </w:t>
      </w:r>
      <w:r w:rsidR="003E6687">
        <w:rPr>
          <w:lang w:val="en-AU"/>
        </w:rPr>
        <w:t>practices</w:t>
      </w:r>
      <w:r w:rsidR="00780697">
        <w:rPr>
          <w:lang w:val="en-AU"/>
        </w:rPr>
        <w:t xml:space="preserve"> and disclosures</w:t>
      </w:r>
      <w:r>
        <w:rPr>
          <w:lang w:val="en-AU"/>
        </w:rPr>
        <w:t xml:space="preserve"> </w:t>
      </w:r>
      <w:r w:rsidR="003E6687">
        <w:rPr>
          <w:lang w:val="en-AU"/>
        </w:rPr>
        <w:t>are</w:t>
      </w:r>
      <w:r w:rsidR="00584B62">
        <w:rPr>
          <w:lang w:val="en-AU"/>
        </w:rPr>
        <w:t xml:space="preserve"> now part of a broader set of responsible investment principles. </w:t>
      </w:r>
      <w:r>
        <w:rPr>
          <w:lang w:val="en-AU"/>
        </w:rPr>
        <w:t xml:space="preserve">According to the </w:t>
      </w:r>
      <w:hyperlink r:id="rId8" w:history="1">
        <w:r w:rsidRPr="003E6687">
          <w:rPr>
            <w:rStyle w:val="Hyperlink"/>
            <w:lang w:val="en-AU"/>
          </w:rPr>
          <w:t>UNPRI</w:t>
        </w:r>
      </w:hyperlink>
      <w:r>
        <w:rPr>
          <w:lang w:val="en-AU"/>
        </w:rPr>
        <w:t>, there are four key reasons why tax transparency</w:t>
      </w:r>
      <w:r w:rsidR="000574CE">
        <w:rPr>
          <w:lang w:val="en-AU"/>
        </w:rPr>
        <w:t xml:space="preserve"> is important to investors: 1) the amount of income tax paid is material to a company’s sustainability; 2) public exposure of aggressive tax minimisation strategies – whether legal or not – now presents significant legal, regulatory and reputational risks; 3) reassurance that a company’s tax practices can withstand scrutiny and regulatory change, and finally; 4) aggressive </w:t>
      </w:r>
      <w:r w:rsidR="00577522">
        <w:rPr>
          <w:lang w:val="en-AU"/>
        </w:rPr>
        <w:t xml:space="preserve">tax minimisation </w:t>
      </w:r>
      <w:r w:rsidR="000574CE">
        <w:rPr>
          <w:lang w:val="en-AU"/>
        </w:rPr>
        <w:t>undermines government</w:t>
      </w:r>
      <w:r w:rsidR="00F44D43">
        <w:rPr>
          <w:lang w:val="en-AU"/>
        </w:rPr>
        <w:t xml:space="preserve"> </w:t>
      </w:r>
      <w:r w:rsidR="000574CE">
        <w:rPr>
          <w:lang w:val="en-AU"/>
        </w:rPr>
        <w:t>invest</w:t>
      </w:r>
      <w:r w:rsidR="00F44D43">
        <w:rPr>
          <w:lang w:val="en-AU"/>
        </w:rPr>
        <w:t>ment</w:t>
      </w:r>
      <w:r w:rsidR="000574CE">
        <w:rPr>
          <w:lang w:val="en-AU"/>
        </w:rPr>
        <w:t xml:space="preserve"> in public goods and services, such as infrastructure, education and health, which support economic growth.</w:t>
      </w:r>
    </w:p>
    <w:p w14:paraId="59DC5819" w14:textId="6F91DFE4" w:rsidR="003E6687" w:rsidRDefault="003E6687">
      <w:pPr>
        <w:rPr>
          <w:lang w:val="en-AU"/>
        </w:rPr>
      </w:pPr>
    </w:p>
    <w:p w14:paraId="16148513" w14:textId="7CAA4E15" w:rsidR="003E6687" w:rsidRPr="00936136" w:rsidRDefault="00D408A4" w:rsidP="003E6687">
      <w:pPr>
        <w:rPr>
          <w:b/>
          <w:lang w:val="en-AU"/>
        </w:rPr>
      </w:pPr>
      <w:r>
        <w:rPr>
          <w:b/>
          <w:lang w:val="en-AU"/>
        </w:rPr>
        <w:t>Background: GRI Standards &amp;</w:t>
      </w:r>
      <w:r w:rsidR="00CF78A3">
        <w:rPr>
          <w:b/>
          <w:lang w:val="en-AU"/>
        </w:rPr>
        <w:t xml:space="preserve"> Public Country by Country Reporting</w:t>
      </w:r>
    </w:p>
    <w:p w14:paraId="24A91C58" w14:textId="5B4ED809" w:rsidR="00DB2E6A" w:rsidRDefault="00DB2E6A" w:rsidP="00DB2E6A">
      <w:pPr>
        <w:rPr>
          <w:lang w:val="en-AU"/>
        </w:rPr>
      </w:pPr>
      <w:r>
        <w:rPr>
          <w:lang w:val="en-AU"/>
        </w:rPr>
        <w:t xml:space="preserve">The Global Reporting Initiative (GRI) has introduced a proposal for public Country by Country Reporting </w:t>
      </w:r>
      <w:r w:rsidR="00CF78A3">
        <w:rPr>
          <w:lang w:val="en-AU"/>
        </w:rPr>
        <w:t>(</w:t>
      </w:r>
      <w:proofErr w:type="spellStart"/>
      <w:r w:rsidR="00CF78A3">
        <w:rPr>
          <w:lang w:val="en-AU"/>
        </w:rPr>
        <w:t>CbCR</w:t>
      </w:r>
      <w:proofErr w:type="spellEnd"/>
      <w:r w:rsidR="00CF78A3">
        <w:rPr>
          <w:lang w:val="en-AU"/>
        </w:rPr>
        <w:t>) for</w:t>
      </w:r>
      <w:r>
        <w:rPr>
          <w:lang w:val="en-AU"/>
        </w:rPr>
        <w:t xml:space="preserve"> multinationals as part of new reporting standard. The public comment period ends on </w:t>
      </w:r>
      <w:r w:rsidRPr="00DB2E6A">
        <w:rPr>
          <w:b/>
          <w:u w:val="single"/>
          <w:lang w:val="en-AU"/>
        </w:rPr>
        <w:t>15 March 2019</w:t>
      </w:r>
      <w:r>
        <w:rPr>
          <w:lang w:val="en-AU"/>
        </w:rPr>
        <w:t xml:space="preserve"> and multinational companies are likely to lobby heavily against this effective transparency measure. It is </w:t>
      </w:r>
      <w:r w:rsidR="00173506" w:rsidRPr="00173506">
        <w:rPr>
          <w:b/>
          <w:i/>
          <w:u w:val="single"/>
          <w:lang w:val="en-AU"/>
        </w:rPr>
        <w:t>essential</w:t>
      </w:r>
      <w:r w:rsidRPr="00173506">
        <w:rPr>
          <w:b/>
          <w:i/>
          <w:u w:val="single"/>
          <w:lang w:val="en-AU"/>
        </w:rPr>
        <w:t xml:space="preserve"> that institutional investors and investment managers support this new standard </w:t>
      </w:r>
      <w:r w:rsidR="00173506" w:rsidRPr="00173506">
        <w:rPr>
          <w:b/>
          <w:i/>
          <w:u w:val="single"/>
          <w:lang w:val="en-AU"/>
        </w:rPr>
        <w:t>to</w:t>
      </w:r>
      <w:r w:rsidRPr="00173506">
        <w:rPr>
          <w:b/>
          <w:i/>
          <w:u w:val="single"/>
          <w:lang w:val="en-AU"/>
        </w:rPr>
        <w:t xml:space="preserve"> increase transparency</w:t>
      </w:r>
      <w:r>
        <w:rPr>
          <w:lang w:val="en-AU"/>
        </w:rPr>
        <w:t>.</w:t>
      </w:r>
    </w:p>
    <w:p w14:paraId="2A30CBB0" w14:textId="77777777" w:rsidR="00DB2E6A" w:rsidRPr="00CD176D" w:rsidRDefault="00DB2E6A" w:rsidP="00DB2E6A">
      <w:pPr>
        <w:rPr>
          <w:sz w:val="16"/>
          <w:szCs w:val="16"/>
          <w:lang w:val="en-AU"/>
        </w:rPr>
      </w:pPr>
    </w:p>
    <w:p w14:paraId="2C41E4DF" w14:textId="22928CEB" w:rsidR="003E6687" w:rsidRDefault="003E6687" w:rsidP="003E6687">
      <w:pPr>
        <w:rPr>
          <w:lang w:val="en-AU"/>
        </w:rPr>
      </w:pPr>
      <w:r>
        <w:rPr>
          <w:lang w:val="en-AU"/>
        </w:rPr>
        <w:t>Since 1997, GRI Standards have become the world’s most widely adopted global standards for sustainability reporting. Ninety-three percent of the world’s largest 250 corporations now report on sustainability. GRI standards are used by over 4,000 organisations in over 90 countries</w:t>
      </w:r>
      <w:r w:rsidR="00465A3B">
        <w:rPr>
          <w:lang w:val="en-AU"/>
        </w:rPr>
        <w:t xml:space="preserve"> and are often cited in non-financial disclosure legislation, such as the E</w:t>
      </w:r>
      <w:r w:rsidR="00DF543A">
        <w:rPr>
          <w:lang w:val="en-AU"/>
        </w:rPr>
        <w:t xml:space="preserve">uropean </w:t>
      </w:r>
      <w:r w:rsidR="00465A3B">
        <w:rPr>
          <w:lang w:val="en-AU"/>
        </w:rPr>
        <w:t>U</w:t>
      </w:r>
      <w:r w:rsidR="00DF543A">
        <w:rPr>
          <w:lang w:val="en-AU"/>
        </w:rPr>
        <w:t>nion’s</w:t>
      </w:r>
      <w:r w:rsidR="00465A3B">
        <w:rPr>
          <w:lang w:val="en-AU"/>
        </w:rPr>
        <w:t xml:space="preserve"> </w:t>
      </w:r>
      <w:r w:rsidR="00DF543A">
        <w:rPr>
          <w:lang w:val="en-AU"/>
        </w:rPr>
        <w:t xml:space="preserve">(EU) </w:t>
      </w:r>
      <w:r w:rsidR="00465A3B">
        <w:rPr>
          <w:lang w:val="en-AU"/>
        </w:rPr>
        <w:t xml:space="preserve">Guidelines on non-financial reporting. </w:t>
      </w:r>
      <w:r>
        <w:rPr>
          <w:lang w:val="en-AU"/>
        </w:rPr>
        <w:t>The new GRI draft standard on tax and payments to governments</w:t>
      </w:r>
      <w:r w:rsidR="00CD176D">
        <w:rPr>
          <w:lang w:val="en-AU"/>
        </w:rPr>
        <w:t xml:space="preserve"> was </w:t>
      </w:r>
      <w:r>
        <w:rPr>
          <w:lang w:val="en-AU"/>
        </w:rPr>
        <w:t xml:space="preserve">developed by an expert multi-stakeholder technical committee. </w:t>
      </w:r>
    </w:p>
    <w:p w14:paraId="42709802" w14:textId="044D6307" w:rsidR="00B52339" w:rsidRPr="00CD176D" w:rsidRDefault="00B52339">
      <w:pPr>
        <w:rPr>
          <w:b/>
          <w:sz w:val="16"/>
          <w:szCs w:val="16"/>
          <w:lang w:val="en-AU"/>
        </w:rPr>
      </w:pPr>
    </w:p>
    <w:p w14:paraId="4E5921CC" w14:textId="05E1CE1F" w:rsidR="00B52339" w:rsidRDefault="0059211D">
      <w:pPr>
        <w:rPr>
          <w:lang w:val="en-AU"/>
        </w:rPr>
      </w:pPr>
      <w:r>
        <w:rPr>
          <w:lang w:val="en-AU"/>
        </w:rPr>
        <w:t>Many of the world’s largest</w:t>
      </w:r>
      <w:r w:rsidR="00852E14">
        <w:rPr>
          <w:lang w:val="en-AU"/>
        </w:rPr>
        <w:t xml:space="preserve"> economic </w:t>
      </w:r>
      <w:r w:rsidR="00C355E3">
        <w:rPr>
          <w:lang w:val="en-AU"/>
        </w:rPr>
        <w:t>units</w:t>
      </w:r>
      <w:r w:rsidR="00852E14">
        <w:rPr>
          <w:lang w:val="en-AU"/>
        </w:rPr>
        <w:t xml:space="preserve"> are multinationals </w:t>
      </w:r>
      <w:r w:rsidR="00C355E3">
        <w:rPr>
          <w:lang w:val="en-AU"/>
        </w:rPr>
        <w:t xml:space="preserve">– not national governments – </w:t>
      </w:r>
      <w:r w:rsidR="00852E14">
        <w:rPr>
          <w:lang w:val="en-AU"/>
        </w:rPr>
        <w:t>and by some measures a majority of global trade is betwee</w:t>
      </w:r>
      <w:r w:rsidR="006444A2">
        <w:rPr>
          <w:lang w:val="en-AU"/>
        </w:rPr>
        <w:t>n</w:t>
      </w:r>
      <w:r w:rsidR="00852E14">
        <w:rPr>
          <w:lang w:val="en-AU"/>
        </w:rPr>
        <w:t xml:space="preserve"> subsidiaries </w:t>
      </w:r>
      <w:r w:rsidR="006444A2">
        <w:rPr>
          <w:lang w:val="en-AU"/>
        </w:rPr>
        <w:t xml:space="preserve">of the same </w:t>
      </w:r>
      <w:r w:rsidR="00DB2E6A">
        <w:rPr>
          <w:lang w:val="en-AU"/>
        </w:rPr>
        <w:t>firm</w:t>
      </w:r>
      <w:r w:rsidR="00852E14">
        <w:rPr>
          <w:lang w:val="en-AU"/>
        </w:rPr>
        <w:t xml:space="preserve">. While </w:t>
      </w:r>
      <w:r w:rsidR="00DB2E6A">
        <w:rPr>
          <w:lang w:val="en-AU"/>
        </w:rPr>
        <w:t xml:space="preserve">most </w:t>
      </w:r>
      <w:r w:rsidR="00852E14">
        <w:rPr>
          <w:lang w:val="en-AU"/>
        </w:rPr>
        <w:t xml:space="preserve">government </w:t>
      </w:r>
      <w:r w:rsidR="00DB2E6A">
        <w:rPr>
          <w:lang w:val="en-AU"/>
        </w:rPr>
        <w:t xml:space="preserve">and domestic company </w:t>
      </w:r>
      <w:r w:rsidR="00852E14">
        <w:rPr>
          <w:lang w:val="en-AU"/>
        </w:rPr>
        <w:t xml:space="preserve">accounts are </w:t>
      </w:r>
      <w:r w:rsidR="00DB2E6A">
        <w:rPr>
          <w:lang w:val="en-AU"/>
        </w:rPr>
        <w:t>relatively</w:t>
      </w:r>
      <w:r w:rsidR="00852E14">
        <w:rPr>
          <w:lang w:val="en-AU"/>
        </w:rPr>
        <w:t xml:space="preserve"> transparent and clear, the consolidated accounts of most multinationals are not. </w:t>
      </w:r>
      <w:proofErr w:type="spellStart"/>
      <w:r w:rsidR="00852E14">
        <w:rPr>
          <w:lang w:val="en-AU"/>
        </w:rPr>
        <w:t>CbCR</w:t>
      </w:r>
      <w:proofErr w:type="spellEnd"/>
      <w:r w:rsidR="00852E14">
        <w:rPr>
          <w:lang w:val="en-AU"/>
        </w:rPr>
        <w:t xml:space="preserve"> is a response to this transparency deficit and </w:t>
      </w:r>
      <w:r w:rsidR="00CF78A3">
        <w:rPr>
          <w:lang w:val="en-AU"/>
        </w:rPr>
        <w:t xml:space="preserve">levels the playing field by </w:t>
      </w:r>
      <w:r w:rsidR="00852E14">
        <w:rPr>
          <w:lang w:val="en-AU"/>
        </w:rPr>
        <w:t>requir</w:t>
      </w:r>
      <w:r w:rsidR="00CF78A3">
        <w:rPr>
          <w:lang w:val="en-AU"/>
        </w:rPr>
        <w:t>ing</w:t>
      </w:r>
      <w:r w:rsidR="00852E14">
        <w:rPr>
          <w:lang w:val="en-AU"/>
        </w:rPr>
        <w:t xml:space="preserve"> multinationals to provide a country level breakdown of activities, profits </w:t>
      </w:r>
      <w:r w:rsidR="00DF543A">
        <w:rPr>
          <w:lang w:val="en-AU"/>
        </w:rPr>
        <w:t>declared,</w:t>
      </w:r>
      <w:r w:rsidR="00852E14">
        <w:rPr>
          <w:lang w:val="en-AU"/>
        </w:rPr>
        <w:t xml:space="preserve"> and taxes paid. </w:t>
      </w:r>
    </w:p>
    <w:p w14:paraId="42C35558" w14:textId="5AADF7D8" w:rsidR="007B5405" w:rsidRPr="00CD176D" w:rsidRDefault="007B5405">
      <w:pPr>
        <w:rPr>
          <w:sz w:val="16"/>
          <w:szCs w:val="16"/>
          <w:lang w:val="en-AU"/>
        </w:rPr>
      </w:pPr>
    </w:p>
    <w:p w14:paraId="62BF914B" w14:textId="54D3B8C4" w:rsidR="00CF78A3" w:rsidRDefault="007B5405">
      <w:pPr>
        <w:rPr>
          <w:lang w:val="en-AU"/>
        </w:rPr>
      </w:pPr>
      <w:proofErr w:type="spellStart"/>
      <w:r>
        <w:rPr>
          <w:lang w:val="en-AU"/>
        </w:rPr>
        <w:t>CbCR</w:t>
      </w:r>
      <w:proofErr w:type="spellEnd"/>
      <w:r>
        <w:rPr>
          <w:lang w:val="en-AU"/>
        </w:rPr>
        <w:t xml:space="preserve"> by large multinationals to tax authorities – not to the public – is already a core component of the OECD’s Base Erosion and Profit Shifting (BEPS) Action Plan. </w:t>
      </w:r>
      <w:r w:rsidR="00BB13CA">
        <w:rPr>
          <w:lang w:val="en-AU"/>
        </w:rPr>
        <w:t>Extractive companies in several jurisdictions and multinational banks in the EU are already required to provide fo</w:t>
      </w:r>
      <w:r>
        <w:rPr>
          <w:lang w:val="en-AU"/>
        </w:rPr>
        <w:t xml:space="preserve">rms of public </w:t>
      </w:r>
      <w:proofErr w:type="spellStart"/>
      <w:r w:rsidR="00BB13CA">
        <w:rPr>
          <w:lang w:val="en-AU"/>
        </w:rPr>
        <w:t>CbCR</w:t>
      </w:r>
      <w:proofErr w:type="spellEnd"/>
      <w:r>
        <w:rPr>
          <w:lang w:val="en-AU"/>
        </w:rPr>
        <w:t xml:space="preserve">. </w:t>
      </w:r>
      <w:r w:rsidR="00AF389D">
        <w:rPr>
          <w:lang w:val="en-AU"/>
        </w:rPr>
        <w:t>Investors</w:t>
      </w:r>
      <w:r w:rsidR="006B07B0">
        <w:rPr>
          <w:lang w:val="en-AU"/>
        </w:rPr>
        <w:t xml:space="preserve"> </w:t>
      </w:r>
      <w:r w:rsidR="003070F3">
        <w:rPr>
          <w:lang w:val="en-AU"/>
        </w:rPr>
        <w:t xml:space="preserve">need access to </w:t>
      </w:r>
      <w:proofErr w:type="spellStart"/>
      <w:r w:rsidR="003070F3">
        <w:rPr>
          <w:lang w:val="en-AU"/>
        </w:rPr>
        <w:t>CbCR</w:t>
      </w:r>
      <w:proofErr w:type="spellEnd"/>
      <w:r w:rsidR="003070F3">
        <w:rPr>
          <w:lang w:val="en-AU"/>
        </w:rPr>
        <w:t xml:space="preserve"> </w:t>
      </w:r>
      <w:r w:rsidR="00AF389D">
        <w:rPr>
          <w:lang w:val="en-AU"/>
        </w:rPr>
        <w:t xml:space="preserve">for all multinationals </w:t>
      </w:r>
      <w:r w:rsidR="003070F3">
        <w:rPr>
          <w:lang w:val="en-AU"/>
        </w:rPr>
        <w:t xml:space="preserve">to make informed </w:t>
      </w:r>
      <w:r w:rsidR="00CF78A3">
        <w:rPr>
          <w:lang w:val="en-AU"/>
        </w:rPr>
        <w:t>investment decisions</w:t>
      </w:r>
      <w:r w:rsidR="003070F3">
        <w:rPr>
          <w:lang w:val="en-AU"/>
        </w:rPr>
        <w:t>. The proposed GRI reporting st</w:t>
      </w:r>
      <w:bookmarkStart w:id="0" w:name="_GoBack"/>
      <w:bookmarkEnd w:id="0"/>
      <w:r w:rsidR="003070F3">
        <w:rPr>
          <w:lang w:val="en-AU"/>
        </w:rPr>
        <w:t>andards would dramatically enhance tax transparency for multinationals</w:t>
      </w:r>
      <w:r w:rsidR="00D408A4">
        <w:rPr>
          <w:lang w:val="en-AU"/>
        </w:rPr>
        <w:t xml:space="preserve"> and provide valuable information to investors.</w:t>
      </w:r>
    </w:p>
    <w:sectPr w:rsidR="00CF78A3" w:rsidSect="00936136">
      <w:headerReference w:type="default" r:id="rId9"/>
      <w:footerReference w:type="default" r:id="rId10"/>
      <w:pgSz w:w="11900" w:h="16840"/>
      <w:pgMar w:top="1361" w:right="1304" w:bottom="136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B1FBC" w14:textId="77777777" w:rsidR="008A52E4" w:rsidRDefault="008A52E4" w:rsidP="00114FAF">
      <w:r>
        <w:separator/>
      </w:r>
    </w:p>
  </w:endnote>
  <w:endnote w:type="continuationSeparator" w:id="0">
    <w:p w14:paraId="04DC11C5" w14:textId="77777777" w:rsidR="008A52E4" w:rsidRDefault="008A52E4" w:rsidP="001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AC37A" w14:textId="77777777" w:rsidR="00041CFA" w:rsidRDefault="008A52E4" w:rsidP="00041CFA">
    <w:pPr>
      <w:pStyle w:val="Footer"/>
      <w:jc w:val="center"/>
      <w:rPr>
        <w:rStyle w:val="Hyperlink"/>
        <w:sz w:val="20"/>
        <w:szCs w:val="20"/>
      </w:rPr>
    </w:pPr>
    <w:hyperlink r:id="rId1" w:history="1">
      <w:r w:rsidR="00936136" w:rsidRPr="00936136">
        <w:rPr>
          <w:rStyle w:val="Hyperlink"/>
          <w:sz w:val="20"/>
          <w:szCs w:val="20"/>
        </w:rPr>
        <w:t>cictar.org</w:t>
      </w:r>
    </w:hyperlink>
  </w:p>
  <w:p w14:paraId="530C49B5" w14:textId="1179DB0B" w:rsidR="00041CFA" w:rsidRPr="00557AAC" w:rsidRDefault="00041CFA" w:rsidP="00041CFA">
    <w:pPr>
      <w:pStyle w:val="Footer"/>
      <w:jc w:val="center"/>
      <w:rPr>
        <w:sz w:val="20"/>
        <w:szCs w:val="20"/>
        <w:lang w:val="en-AU"/>
      </w:rPr>
    </w:pPr>
    <w:r>
      <w:rPr>
        <w:rStyle w:val="Hyperlink"/>
        <w:sz w:val="20"/>
        <w:szCs w:val="20"/>
        <w:lang w:val="en-AU"/>
      </w:rPr>
      <w:t>workerscapital.org</w:t>
    </w:r>
  </w:p>
  <w:p w14:paraId="7D70EE3B" w14:textId="43F1D18A" w:rsidR="00936136" w:rsidRDefault="00936136" w:rsidP="00936136">
    <w:pPr>
      <w:pStyle w:val="Head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7B9AF" w14:textId="77777777" w:rsidR="008A52E4" w:rsidRDefault="008A52E4" w:rsidP="00114FAF">
      <w:r>
        <w:separator/>
      </w:r>
    </w:p>
  </w:footnote>
  <w:footnote w:type="continuationSeparator" w:id="0">
    <w:p w14:paraId="07F93E96" w14:textId="77777777" w:rsidR="008A52E4" w:rsidRDefault="008A52E4" w:rsidP="0011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FE14" w14:textId="1A8DA2F4" w:rsidR="00936136" w:rsidRPr="00936136" w:rsidRDefault="00114FAF" w:rsidP="00936136">
    <w:pPr>
      <w:pStyle w:val="Header"/>
      <w:jc w:val="center"/>
    </w:pPr>
    <w:r>
      <w:rPr>
        <w:b/>
        <w:noProof/>
        <w:sz w:val="28"/>
        <w:szCs w:val="28"/>
        <w:lang w:val="en-CA" w:eastAsia="en-CA"/>
      </w:rPr>
      <w:drawing>
        <wp:inline distT="0" distB="0" distL="0" distR="0" wp14:anchorId="32D4C7DE" wp14:editId="28046C7D">
          <wp:extent cx="1206500" cy="44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1CFA">
      <w:rPr>
        <w:i/>
        <w:noProof/>
        <w:sz w:val="22"/>
        <w:szCs w:val="22"/>
        <w:lang w:val="en-CA" w:eastAsia="en-CA"/>
      </w:rPr>
      <w:drawing>
        <wp:inline distT="0" distB="0" distL="0" distR="0" wp14:anchorId="46B136B1" wp14:editId="178C0C27">
          <wp:extent cx="1111250" cy="412724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C_logo_medi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2" cy="44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F9602" w14:textId="77777777" w:rsidR="00936136" w:rsidRPr="00936136" w:rsidRDefault="00936136" w:rsidP="00114FAF">
    <w:pPr>
      <w:pStyle w:val="Header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2"/>
    <w:rsid w:val="00041CFA"/>
    <w:rsid w:val="000574CE"/>
    <w:rsid w:val="00114FAF"/>
    <w:rsid w:val="00173506"/>
    <w:rsid w:val="001872AF"/>
    <w:rsid w:val="001F2D78"/>
    <w:rsid w:val="003070F3"/>
    <w:rsid w:val="00347B83"/>
    <w:rsid w:val="003E6687"/>
    <w:rsid w:val="0044379C"/>
    <w:rsid w:val="00465A3B"/>
    <w:rsid w:val="00492E00"/>
    <w:rsid w:val="004932D7"/>
    <w:rsid w:val="00577522"/>
    <w:rsid w:val="00584B62"/>
    <w:rsid w:val="0059211D"/>
    <w:rsid w:val="00611A54"/>
    <w:rsid w:val="00623FC6"/>
    <w:rsid w:val="0064044B"/>
    <w:rsid w:val="006444A2"/>
    <w:rsid w:val="00655D31"/>
    <w:rsid w:val="006B07B0"/>
    <w:rsid w:val="006B4AE0"/>
    <w:rsid w:val="00701B84"/>
    <w:rsid w:val="00780697"/>
    <w:rsid w:val="007B5405"/>
    <w:rsid w:val="00852E14"/>
    <w:rsid w:val="00896D6F"/>
    <w:rsid w:val="008A52E4"/>
    <w:rsid w:val="008F162B"/>
    <w:rsid w:val="009226EB"/>
    <w:rsid w:val="00936136"/>
    <w:rsid w:val="00A13DE1"/>
    <w:rsid w:val="00AF389D"/>
    <w:rsid w:val="00B1595B"/>
    <w:rsid w:val="00B52339"/>
    <w:rsid w:val="00B83F71"/>
    <w:rsid w:val="00B8703B"/>
    <w:rsid w:val="00BB13CA"/>
    <w:rsid w:val="00C34984"/>
    <w:rsid w:val="00C355E3"/>
    <w:rsid w:val="00C96D02"/>
    <w:rsid w:val="00CD176D"/>
    <w:rsid w:val="00CF78A3"/>
    <w:rsid w:val="00D408A4"/>
    <w:rsid w:val="00D5201E"/>
    <w:rsid w:val="00DB2E6A"/>
    <w:rsid w:val="00DF543A"/>
    <w:rsid w:val="00E35666"/>
    <w:rsid w:val="00E77CCB"/>
    <w:rsid w:val="00E81D9D"/>
    <w:rsid w:val="00F44D43"/>
    <w:rsid w:val="00FA23DD"/>
    <w:rsid w:val="00FC2D2F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EE98"/>
  <w14:defaultImageDpi w14:val="32767"/>
  <w15:chartTrackingRefBased/>
  <w15:docId w15:val="{5CA74762-C9FB-C249-9EE1-BE712A9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FAF"/>
  </w:style>
  <w:style w:type="paragraph" w:styleId="Footer">
    <w:name w:val="footer"/>
    <w:basedOn w:val="Normal"/>
    <w:link w:val="FooterChar"/>
    <w:uiPriority w:val="99"/>
    <w:unhideWhenUsed/>
    <w:rsid w:val="00114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FAF"/>
  </w:style>
  <w:style w:type="character" w:styleId="Hyperlink">
    <w:name w:val="Hyperlink"/>
    <w:basedOn w:val="DefaultParagraphFont"/>
    <w:uiPriority w:val="99"/>
    <w:unhideWhenUsed/>
    <w:rsid w:val="008F16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F16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pri.org/esg-issues/governance-issues/tax-avoid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ctar.org/GR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obalreporting.org/standards/media/2160/public-comment-form-exposure-draft-standard-for-tax-and-payments-to-government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ta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Ward</dc:creator>
  <cp:keywords/>
  <dc:description/>
  <cp:lastModifiedBy>Hugues Letourneau</cp:lastModifiedBy>
  <cp:revision>2</cp:revision>
  <dcterms:created xsi:type="dcterms:W3CDTF">2019-02-01T01:42:00Z</dcterms:created>
  <dcterms:modified xsi:type="dcterms:W3CDTF">2019-02-01T01:42:00Z</dcterms:modified>
</cp:coreProperties>
</file>