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7104" w14:textId="77777777" w:rsidR="004133F5" w:rsidRPr="005F4BF0" w:rsidRDefault="004133F5" w:rsidP="004133F5">
      <w:pPr>
        <w:jc w:val="center"/>
        <w:rPr>
          <w:b/>
          <w:sz w:val="16"/>
          <w:szCs w:val="16"/>
          <w:lang w:val="en-AU"/>
        </w:rPr>
      </w:pPr>
    </w:p>
    <w:p w14:paraId="4224EEAA" w14:textId="7EF45742" w:rsidR="008B614F" w:rsidRPr="004133F5" w:rsidRDefault="006108AF" w:rsidP="004133F5">
      <w:pPr>
        <w:jc w:val="center"/>
        <w:rPr>
          <w:b/>
          <w:sz w:val="28"/>
          <w:szCs w:val="28"/>
          <w:lang w:val="en-AU"/>
        </w:rPr>
      </w:pPr>
      <w:r w:rsidRPr="004133F5">
        <w:rPr>
          <w:b/>
          <w:sz w:val="28"/>
          <w:szCs w:val="28"/>
          <w:lang w:val="en-AU"/>
        </w:rPr>
        <w:t>Guide</w:t>
      </w:r>
      <w:r w:rsidR="008B614F" w:rsidRPr="004133F5">
        <w:rPr>
          <w:b/>
          <w:sz w:val="28"/>
          <w:szCs w:val="28"/>
          <w:lang w:val="en-AU"/>
        </w:rPr>
        <w:t xml:space="preserve"> for</w:t>
      </w:r>
      <w:r w:rsidRPr="004133F5">
        <w:rPr>
          <w:b/>
          <w:sz w:val="28"/>
          <w:szCs w:val="28"/>
          <w:lang w:val="en-AU"/>
        </w:rPr>
        <w:t xml:space="preserve"> Comments in Support of the</w:t>
      </w:r>
      <w:r w:rsidR="004133F5">
        <w:rPr>
          <w:b/>
          <w:sz w:val="28"/>
          <w:szCs w:val="28"/>
          <w:lang w:val="en-AU"/>
        </w:rPr>
        <w:t xml:space="preserve"> </w:t>
      </w:r>
      <w:r w:rsidR="008B614F" w:rsidRPr="004133F5">
        <w:rPr>
          <w:b/>
          <w:sz w:val="28"/>
          <w:szCs w:val="28"/>
          <w:lang w:val="en-AU"/>
        </w:rPr>
        <w:t>“Exposure draft of GRI topic-specific Standard: Tax and Payments to Governments”</w:t>
      </w:r>
    </w:p>
    <w:p w14:paraId="23215421" w14:textId="50A5451D" w:rsidR="008B614F" w:rsidRPr="000D7873" w:rsidRDefault="008B614F">
      <w:pPr>
        <w:rPr>
          <w:sz w:val="16"/>
          <w:szCs w:val="16"/>
          <w:lang w:val="en-AU"/>
        </w:rPr>
      </w:pPr>
    </w:p>
    <w:p w14:paraId="431F91DD" w14:textId="675CE748" w:rsidR="000D181E" w:rsidRDefault="006108AF" w:rsidP="00752E30">
      <w:pPr>
        <w:jc w:val="both"/>
        <w:rPr>
          <w:sz w:val="22"/>
          <w:szCs w:val="22"/>
          <w:lang w:val="en-AU"/>
        </w:rPr>
      </w:pPr>
      <w:r w:rsidRPr="00803B64">
        <w:rPr>
          <w:sz w:val="22"/>
          <w:szCs w:val="22"/>
          <w:lang w:val="en-AU"/>
        </w:rPr>
        <w:t xml:space="preserve">This document is intended as a guide to simplify the process of submitting comments in support of the draft GRI Standards on tax transparency. The </w:t>
      </w:r>
      <w:hyperlink r:id="rId8" w:history="1">
        <w:r w:rsidRPr="000D181E">
          <w:rPr>
            <w:rStyle w:val="Hyperlink"/>
            <w:sz w:val="22"/>
            <w:szCs w:val="22"/>
            <w:lang w:val="en-AU"/>
          </w:rPr>
          <w:t>form for comments</w:t>
        </w:r>
      </w:hyperlink>
      <w:r w:rsidRPr="00803B64">
        <w:rPr>
          <w:sz w:val="22"/>
          <w:szCs w:val="22"/>
          <w:lang w:val="en-AU"/>
        </w:rPr>
        <w:t>, including the draft GRI standards, is 34 pages long, but there are only a limited number of questions that need to be answered.</w:t>
      </w:r>
      <w:r w:rsidR="005C3ED7" w:rsidRPr="00803B64">
        <w:rPr>
          <w:sz w:val="22"/>
          <w:szCs w:val="22"/>
          <w:lang w:val="en-AU"/>
        </w:rPr>
        <w:t xml:space="preserve"> </w:t>
      </w:r>
      <w:r w:rsidR="00752E30">
        <w:rPr>
          <w:sz w:val="22"/>
          <w:szCs w:val="22"/>
          <w:lang w:val="en-AU"/>
        </w:rPr>
        <w:t>T</w:t>
      </w:r>
      <w:r w:rsidR="000D181E">
        <w:rPr>
          <w:sz w:val="22"/>
          <w:szCs w:val="22"/>
          <w:lang w:val="en-AU"/>
        </w:rPr>
        <w:t>he five reporting requirements</w:t>
      </w:r>
      <w:r w:rsidR="00752E30">
        <w:rPr>
          <w:sz w:val="22"/>
          <w:szCs w:val="22"/>
          <w:lang w:val="en-AU"/>
        </w:rPr>
        <w:t xml:space="preserve"> are</w:t>
      </w:r>
      <w:r w:rsidR="000D181E">
        <w:rPr>
          <w:sz w:val="22"/>
          <w:szCs w:val="22"/>
          <w:lang w:val="en-AU"/>
        </w:rPr>
        <w:t xml:space="preserve"> on page</w:t>
      </w:r>
      <w:r w:rsidR="00752E30">
        <w:rPr>
          <w:sz w:val="22"/>
          <w:szCs w:val="22"/>
          <w:lang w:val="en-AU"/>
        </w:rPr>
        <w:t>s</w:t>
      </w:r>
      <w:r w:rsidR="000D181E">
        <w:rPr>
          <w:sz w:val="22"/>
          <w:szCs w:val="22"/>
          <w:lang w:val="en-AU"/>
        </w:rPr>
        <w:t xml:space="preserve"> 12, 14, 17, 21 and 23. The proposed disclosures are broadly consistent with the recommendations in the UNPRI investor guide on corporate tax transparency. </w:t>
      </w:r>
    </w:p>
    <w:p w14:paraId="7C54FF37" w14:textId="77777777" w:rsidR="000D181E" w:rsidRDefault="000D181E" w:rsidP="00752E30">
      <w:pPr>
        <w:jc w:val="both"/>
        <w:rPr>
          <w:sz w:val="22"/>
          <w:szCs w:val="22"/>
          <w:lang w:val="en-AU"/>
        </w:rPr>
      </w:pPr>
    </w:p>
    <w:p w14:paraId="20C534F5" w14:textId="339C6E40" w:rsidR="006108AF" w:rsidRPr="00803B64" w:rsidRDefault="005C3ED7" w:rsidP="00752E30">
      <w:pPr>
        <w:jc w:val="both"/>
        <w:rPr>
          <w:sz w:val="22"/>
          <w:szCs w:val="22"/>
          <w:lang w:val="en-AU"/>
        </w:rPr>
      </w:pPr>
      <w:r w:rsidRPr="00803B64">
        <w:rPr>
          <w:sz w:val="22"/>
          <w:szCs w:val="22"/>
          <w:lang w:val="en-AU"/>
        </w:rPr>
        <w:t>Providing supportive comments to key questions can be done quickly (</w:t>
      </w:r>
      <w:r w:rsidR="00C30756" w:rsidRPr="00803B64">
        <w:rPr>
          <w:sz w:val="22"/>
          <w:szCs w:val="22"/>
          <w:lang w:val="en-AU"/>
        </w:rPr>
        <w:t>&lt;</w:t>
      </w:r>
      <w:r w:rsidRPr="00803B64">
        <w:rPr>
          <w:sz w:val="22"/>
          <w:szCs w:val="22"/>
          <w:lang w:val="en-AU"/>
        </w:rPr>
        <w:t xml:space="preserve">30 minutes). It is important that the GRI </w:t>
      </w:r>
      <w:r w:rsidR="004133F5" w:rsidRPr="00803B64">
        <w:rPr>
          <w:sz w:val="22"/>
          <w:szCs w:val="22"/>
          <w:lang w:val="en-AU"/>
        </w:rPr>
        <w:t>receives</w:t>
      </w:r>
      <w:r w:rsidRPr="00803B64">
        <w:rPr>
          <w:sz w:val="22"/>
          <w:szCs w:val="22"/>
          <w:lang w:val="en-AU"/>
        </w:rPr>
        <w:t xml:space="preserve"> positive feedback and support for these standards and understands that the information will be of significant interest </w:t>
      </w:r>
      <w:r w:rsidR="00557AAC" w:rsidRPr="00803B64">
        <w:rPr>
          <w:sz w:val="22"/>
          <w:szCs w:val="22"/>
          <w:lang w:val="en-AU"/>
        </w:rPr>
        <w:t xml:space="preserve">and value </w:t>
      </w:r>
      <w:r w:rsidRPr="00803B64">
        <w:rPr>
          <w:sz w:val="22"/>
          <w:szCs w:val="22"/>
          <w:lang w:val="en-AU"/>
        </w:rPr>
        <w:t xml:space="preserve">to </w:t>
      </w:r>
      <w:r w:rsidR="00803B64" w:rsidRPr="00803B64">
        <w:rPr>
          <w:sz w:val="22"/>
          <w:szCs w:val="22"/>
          <w:lang w:val="en-AU"/>
        </w:rPr>
        <w:t>investors</w:t>
      </w:r>
      <w:r w:rsidRPr="00803B64">
        <w:rPr>
          <w:sz w:val="22"/>
          <w:szCs w:val="22"/>
          <w:lang w:val="en-AU"/>
        </w:rPr>
        <w:t xml:space="preserve">. </w:t>
      </w:r>
      <w:r w:rsidR="0090130B">
        <w:rPr>
          <w:sz w:val="22"/>
          <w:szCs w:val="22"/>
          <w:lang w:val="en-AU"/>
        </w:rPr>
        <w:t>Q</w:t>
      </w:r>
      <w:r w:rsidR="0011507C" w:rsidRPr="00803B64">
        <w:rPr>
          <w:sz w:val="22"/>
          <w:szCs w:val="22"/>
          <w:lang w:val="en-AU"/>
        </w:rPr>
        <w:t xml:space="preserve">uestions </w:t>
      </w:r>
      <w:r w:rsidR="0090130B">
        <w:rPr>
          <w:sz w:val="22"/>
          <w:szCs w:val="22"/>
          <w:lang w:val="en-AU"/>
        </w:rPr>
        <w:t xml:space="preserve">#3 and #6 </w:t>
      </w:r>
      <w:r w:rsidR="0011507C" w:rsidRPr="00803B64">
        <w:rPr>
          <w:sz w:val="22"/>
          <w:szCs w:val="22"/>
          <w:lang w:val="en-AU"/>
        </w:rPr>
        <w:t xml:space="preserve">are the key opportunities to support </w:t>
      </w:r>
      <w:r w:rsidR="004133F5" w:rsidRPr="00803B64">
        <w:rPr>
          <w:sz w:val="22"/>
          <w:szCs w:val="22"/>
          <w:lang w:val="en-AU"/>
        </w:rPr>
        <w:t xml:space="preserve">the standards and </w:t>
      </w:r>
      <w:r w:rsidR="0011507C" w:rsidRPr="00803B64">
        <w:rPr>
          <w:sz w:val="22"/>
          <w:szCs w:val="22"/>
          <w:lang w:val="en-AU"/>
        </w:rPr>
        <w:t xml:space="preserve">public Country by County Reporting. </w:t>
      </w:r>
      <w:r w:rsidRPr="00803B64">
        <w:rPr>
          <w:sz w:val="22"/>
          <w:szCs w:val="22"/>
          <w:lang w:val="en-AU"/>
        </w:rPr>
        <w:t xml:space="preserve">The </w:t>
      </w:r>
      <w:r w:rsidRPr="00803B64">
        <w:rPr>
          <w:sz w:val="22"/>
          <w:szCs w:val="22"/>
          <w:u w:val="single"/>
          <w:lang w:val="en-AU"/>
        </w:rPr>
        <w:t>deadline is 15 March 2019</w:t>
      </w:r>
      <w:r w:rsidRPr="00803B64">
        <w:rPr>
          <w:sz w:val="22"/>
          <w:szCs w:val="22"/>
          <w:lang w:val="en-AU"/>
        </w:rPr>
        <w:t>.</w:t>
      </w:r>
    </w:p>
    <w:p w14:paraId="2582B3E7" w14:textId="77777777" w:rsidR="00803B64" w:rsidRPr="00803B64" w:rsidRDefault="00803B64" w:rsidP="00752E30">
      <w:pPr>
        <w:jc w:val="both"/>
        <w:rPr>
          <w:sz w:val="22"/>
          <w:szCs w:val="22"/>
          <w:lang w:val="en-AU"/>
        </w:rPr>
      </w:pPr>
    </w:p>
    <w:p w14:paraId="6F593C2E" w14:textId="626FE4BA" w:rsidR="008B614F" w:rsidRPr="00803B64" w:rsidRDefault="008B614F" w:rsidP="00752E30">
      <w:pPr>
        <w:jc w:val="both"/>
        <w:rPr>
          <w:sz w:val="22"/>
          <w:szCs w:val="22"/>
          <w:lang w:val="en-AU"/>
        </w:rPr>
      </w:pPr>
      <w:proofErr w:type="gramStart"/>
      <w:r w:rsidRPr="00803B64">
        <w:rPr>
          <w:sz w:val="22"/>
          <w:szCs w:val="22"/>
          <w:lang w:val="en-AU"/>
        </w:rPr>
        <w:t>pp.5-6</w:t>
      </w:r>
      <w:proofErr w:type="gramEnd"/>
      <w:r w:rsidR="005C3ED7" w:rsidRPr="00803B64">
        <w:rPr>
          <w:sz w:val="22"/>
          <w:szCs w:val="22"/>
          <w:lang w:val="en-AU"/>
        </w:rPr>
        <w:t>,</w:t>
      </w:r>
      <w:r w:rsidRPr="00803B64">
        <w:rPr>
          <w:sz w:val="22"/>
          <w:szCs w:val="22"/>
          <w:lang w:val="en-AU"/>
        </w:rPr>
        <w:t xml:space="preserve"> </w:t>
      </w:r>
      <w:r w:rsidRPr="00803B64">
        <w:rPr>
          <w:b/>
          <w:sz w:val="22"/>
          <w:szCs w:val="22"/>
          <w:lang w:val="en-AU"/>
        </w:rPr>
        <w:t>Personal Details</w:t>
      </w:r>
      <w:r w:rsidR="007F5545" w:rsidRPr="00803B64">
        <w:rPr>
          <w:sz w:val="22"/>
          <w:szCs w:val="22"/>
          <w:lang w:val="en-AU"/>
        </w:rPr>
        <w:t xml:space="preserve"> – </w:t>
      </w:r>
      <w:r w:rsidR="007F5545" w:rsidRPr="00803B64">
        <w:rPr>
          <w:i/>
          <w:sz w:val="22"/>
          <w:szCs w:val="22"/>
          <w:lang w:val="en-AU"/>
        </w:rPr>
        <w:t xml:space="preserve">standard </w:t>
      </w:r>
      <w:r w:rsidR="005C3ED7" w:rsidRPr="00803B64">
        <w:rPr>
          <w:i/>
          <w:sz w:val="22"/>
          <w:szCs w:val="22"/>
          <w:lang w:val="en-AU"/>
        </w:rPr>
        <w:t xml:space="preserve">contact and organisational </w:t>
      </w:r>
      <w:r w:rsidR="007F5545" w:rsidRPr="00803B64">
        <w:rPr>
          <w:i/>
          <w:sz w:val="22"/>
          <w:szCs w:val="22"/>
          <w:lang w:val="en-AU"/>
        </w:rPr>
        <w:t>information</w:t>
      </w:r>
      <w:r w:rsidR="005C3ED7" w:rsidRPr="00803B64">
        <w:rPr>
          <w:i/>
          <w:sz w:val="22"/>
          <w:szCs w:val="22"/>
          <w:lang w:val="en-AU"/>
        </w:rPr>
        <w:t xml:space="preserve"> required</w:t>
      </w:r>
    </w:p>
    <w:p w14:paraId="5C7D7B10" w14:textId="54E709C6" w:rsidR="008B614F" w:rsidRPr="00803B64" w:rsidRDefault="008B614F" w:rsidP="00752E30">
      <w:pPr>
        <w:jc w:val="both"/>
        <w:rPr>
          <w:sz w:val="22"/>
          <w:szCs w:val="22"/>
          <w:lang w:val="en-AU"/>
        </w:rPr>
      </w:pPr>
    </w:p>
    <w:p w14:paraId="52E0EB3B" w14:textId="7A03310C" w:rsidR="008B614F" w:rsidRPr="00803B64" w:rsidRDefault="008B614F" w:rsidP="00752E30">
      <w:pPr>
        <w:jc w:val="both"/>
        <w:rPr>
          <w:sz w:val="22"/>
          <w:szCs w:val="22"/>
          <w:lang w:val="en-AU"/>
        </w:rPr>
      </w:pPr>
      <w:r w:rsidRPr="00803B64">
        <w:rPr>
          <w:sz w:val="22"/>
          <w:szCs w:val="22"/>
          <w:lang w:val="en-AU"/>
        </w:rPr>
        <w:t>p.19</w:t>
      </w:r>
      <w:r w:rsidR="005C3ED7" w:rsidRPr="00803B64">
        <w:rPr>
          <w:sz w:val="22"/>
          <w:szCs w:val="22"/>
          <w:lang w:val="en-AU"/>
        </w:rPr>
        <w:t>,</w:t>
      </w:r>
      <w:r w:rsidRPr="00803B64">
        <w:rPr>
          <w:b/>
          <w:sz w:val="22"/>
          <w:szCs w:val="22"/>
          <w:lang w:val="en-AU"/>
        </w:rPr>
        <w:t xml:space="preserve"> Question 1</w:t>
      </w:r>
      <w:r w:rsidRPr="00803B64">
        <w:rPr>
          <w:sz w:val="22"/>
          <w:szCs w:val="22"/>
          <w:lang w:val="en-AU"/>
        </w:rPr>
        <w:t xml:space="preserve">: Are any of the management approach disclosures </w:t>
      </w:r>
      <w:r w:rsidR="00E12907" w:rsidRPr="00803B64">
        <w:rPr>
          <w:sz w:val="22"/>
          <w:szCs w:val="22"/>
          <w:lang w:val="en-AU"/>
        </w:rPr>
        <w:t>…</w:t>
      </w:r>
      <w:r w:rsidRPr="00803B64">
        <w:rPr>
          <w:sz w:val="22"/>
          <w:szCs w:val="22"/>
          <w:lang w:val="en-AU"/>
        </w:rPr>
        <w:t xml:space="preserve"> not understandable and/or feasible? If so, why, and, what, if any, wording revisions or guidance would you suggest?</w:t>
      </w:r>
    </w:p>
    <w:p w14:paraId="6EFF732B" w14:textId="77777777" w:rsidR="00803B64" w:rsidRPr="00803B64" w:rsidRDefault="00803B64" w:rsidP="00752E30">
      <w:pPr>
        <w:pStyle w:val="ListParagraph"/>
        <w:jc w:val="both"/>
        <w:rPr>
          <w:sz w:val="22"/>
          <w:szCs w:val="22"/>
          <w:lang w:val="en-AU"/>
        </w:rPr>
      </w:pPr>
    </w:p>
    <w:p w14:paraId="1EA6C6FE" w14:textId="0F2C5F25" w:rsidR="008B614F" w:rsidRPr="00752E30" w:rsidRDefault="000D7873" w:rsidP="00752E30">
      <w:pPr>
        <w:pStyle w:val="ListParagraph"/>
        <w:numPr>
          <w:ilvl w:val="0"/>
          <w:numId w:val="1"/>
        </w:numPr>
        <w:jc w:val="both"/>
        <w:rPr>
          <w:i/>
          <w:sz w:val="22"/>
          <w:szCs w:val="22"/>
          <w:lang w:val="en-AU"/>
        </w:rPr>
      </w:pPr>
      <w:r w:rsidRPr="00752E30">
        <w:rPr>
          <w:i/>
          <w:sz w:val="22"/>
          <w:szCs w:val="22"/>
          <w:lang w:val="en-AU"/>
        </w:rPr>
        <w:t xml:space="preserve">The disclosures are understandable and feasible and would be useful </w:t>
      </w:r>
      <w:r w:rsidR="00E86E87" w:rsidRPr="00752E30">
        <w:rPr>
          <w:i/>
          <w:sz w:val="22"/>
          <w:szCs w:val="22"/>
          <w:lang w:val="en-AU"/>
        </w:rPr>
        <w:t xml:space="preserve">to investors. Disclosure XXX-1, XXX-2 and XXX-3 would help investors understand whether a tax strategy exists, is disclosed </w:t>
      </w:r>
      <w:proofErr w:type="gramStart"/>
      <w:r w:rsidR="00E86E87" w:rsidRPr="00752E30">
        <w:rPr>
          <w:i/>
          <w:sz w:val="22"/>
          <w:szCs w:val="22"/>
          <w:lang w:val="en-AU"/>
        </w:rPr>
        <w:t>and</w:t>
      </w:r>
      <w:proofErr w:type="gramEnd"/>
      <w:r w:rsidR="00E86E87" w:rsidRPr="00752E30">
        <w:rPr>
          <w:i/>
          <w:sz w:val="22"/>
          <w:szCs w:val="22"/>
          <w:lang w:val="en-AU"/>
        </w:rPr>
        <w:t xml:space="preserve"> whether an appropriate tax governance is in place to help ascertain tax risk in portfolio companies. These disclosure requirements are generally consistent with the UNPRI Investor’s recommendations on corporate income tax disclosure.  </w:t>
      </w:r>
    </w:p>
    <w:p w14:paraId="6323E701" w14:textId="49C5AF52" w:rsidR="008B614F" w:rsidRPr="00803B64" w:rsidRDefault="008B614F" w:rsidP="00752E30">
      <w:pPr>
        <w:jc w:val="both"/>
        <w:rPr>
          <w:sz w:val="22"/>
          <w:szCs w:val="22"/>
          <w:lang w:val="en-AU"/>
        </w:rPr>
      </w:pPr>
    </w:p>
    <w:p w14:paraId="725BA174" w14:textId="677D95D0" w:rsidR="008B614F" w:rsidRPr="00803B64" w:rsidRDefault="008B614F" w:rsidP="00752E30">
      <w:pPr>
        <w:jc w:val="both"/>
        <w:rPr>
          <w:sz w:val="22"/>
          <w:szCs w:val="22"/>
          <w:lang w:val="en-AU"/>
        </w:rPr>
      </w:pPr>
      <w:r w:rsidRPr="00803B64">
        <w:rPr>
          <w:sz w:val="22"/>
          <w:szCs w:val="22"/>
          <w:lang w:val="en-AU"/>
        </w:rPr>
        <w:t>p.20</w:t>
      </w:r>
      <w:r w:rsidR="000D7873" w:rsidRPr="00803B64">
        <w:rPr>
          <w:sz w:val="22"/>
          <w:szCs w:val="22"/>
          <w:lang w:val="en-AU"/>
        </w:rPr>
        <w:t>,</w:t>
      </w:r>
      <w:r w:rsidRPr="00803B64">
        <w:rPr>
          <w:sz w:val="22"/>
          <w:szCs w:val="22"/>
          <w:lang w:val="en-AU"/>
        </w:rPr>
        <w:t xml:space="preserve"> </w:t>
      </w:r>
      <w:r w:rsidRPr="00803B64">
        <w:rPr>
          <w:b/>
          <w:sz w:val="22"/>
          <w:szCs w:val="22"/>
          <w:lang w:val="en-AU"/>
        </w:rPr>
        <w:t>Question 2</w:t>
      </w:r>
      <w:r w:rsidRPr="00803B64">
        <w:rPr>
          <w:sz w:val="22"/>
          <w:szCs w:val="22"/>
          <w:lang w:val="en-AU"/>
        </w:rPr>
        <w:t>:</w:t>
      </w:r>
      <w:r w:rsidR="00E12907" w:rsidRPr="00803B64">
        <w:rPr>
          <w:sz w:val="22"/>
          <w:szCs w:val="22"/>
          <w:lang w:val="en-AU"/>
        </w:rPr>
        <w:t xml:space="preserve"> </w:t>
      </w:r>
      <w:r w:rsidRPr="00803B64">
        <w:rPr>
          <w:sz w:val="22"/>
          <w:szCs w:val="22"/>
          <w:lang w:val="en-AU"/>
        </w:rPr>
        <w:t xml:space="preserve">With respect to reporting requirements in the management approach disclosures </w:t>
      </w:r>
      <w:r w:rsidR="00E12907" w:rsidRPr="00803B64">
        <w:rPr>
          <w:sz w:val="22"/>
          <w:szCs w:val="22"/>
          <w:lang w:val="en-AU"/>
        </w:rPr>
        <w:t>…</w:t>
      </w:r>
      <w:r w:rsidRPr="00803B64">
        <w:rPr>
          <w:sz w:val="22"/>
          <w:szCs w:val="22"/>
          <w:lang w:val="en-AU"/>
        </w:rPr>
        <w:t xml:space="preserve"> are all of them critical to describing the management approach on tax and payments to governments.</w:t>
      </w:r>
    </w:p>
    <w:p w14:paraId="019C0B90" w14:textId="77777777" w:rsidR="00E86E87" w:rsidRDefault="00E86E87" w:rsidP="00752E30">
      <w:pPr>
        <w:pStyle w:val="ListParagraph"/>
        <w:jc w:val="both"/>
        <w:rPr>
          <w:sz w:val="22"/>
          <w:szCs w:val="22"/>
          <w:lang w:val="en-AU"/>
        </w:rPr>
      </w:pPr>
    </w:p>
    <w:p w14:paraId="3D01B998" w14:textId="4753E7BC" w:rsidR="008B614F" w:rsidRPr="00752E30" w:rsidRDefault="00E904A0" w:rsidP="00752E30">
      <w:pPr>
        <w:pStyle w:val="ListParagraph"/>
        <w:numPr>
          <w:ilvl w:val="0"/>
          <w:numId w:val="1"/>
        </w:numPr>
        <w:jc w:val="both"/>
        <w:rPr>
          <w:i/>
          <w:sz w:val="22"/>
          <w:szCs w:val="22"/>
          <w:lang w:val="en-AU"/>
        </w:rPr>
      </w:pPr>
      <w:r w:rsidRPr="00752E30">
        <w:rPr>
          <w:i/>
          <w:sz w:val="22"/>
          <w:szCs w:val="22"/>
          <w:lang w:val="en-AU"/>
        </w:rPr>
        <w:t>The reporting requirements</w:t>
      </w:r>
      <w:r w:rsidR="0011507C" w:rsidRPr="00752E30">
        <w:rPr>
          <w:i/>
          <w:sz w:val="22"/>
          <w:szCs w:val="22"/>
          <w:lang w:val="en-AU"/>
        </w:rPr>
        <w:t xml:space="preserve"> are </w:t>
      </w:r>
      <w:r w:rsidR="008B614F" w:rsidRPr="00752E30">
        <w:rPr>
          <w:i/>
          <w:sz w:val="22"/>
          <w:szCs w:val="22"/>
          <w:lang w:val="en-AU"/>
        </w:rPr>
        <w:t>critical</w:t>
      </w:r>
      <w:r w:rsidR="00E86E87">
        <w:rPr>
          <w:i/>
          <w:sz w:val="22"/>
          <w:szCs w:val="22"/>
          <w:lang w:val="en-AU"/>
        </w:rPr>
        <w:t xml:space="preserve">. </w:t>
      </w:r>
      <w:r w:rsidR="0011507C" w:rsidRPr="00752E30">
        <w:rPr>
          <w:i/>
          <w:sz w:val="22"/>
          <w:szCs w:val="22"/>
          <w:lang w:val="en-AU"/>
        </w:rPr>
        <w:t>A s</w:t>
      </w:r>
      <w:r w:rsidR="008B614F" w:rsidRPr="00752E30">
        <w:rPr>
          <w:i/>
          <w:sz w:val="22"/>
          <w:szCs w:val="22"/>
          <w:lang w:val="en-AU"/>
        </w:rPr>
        <w:t>uggested change</w:t>
      </w:r>
      <w:r w:rsidR="0011507C" w:rsidRPr="00752E30">
        <w:rPr>
          <w:i/>
          <w:sz w:val="22"/>
          <w:szCs w:val="22"/>
          <w:lang w:val="en-AU"/>
        </w:rPr>
        <w:t xml:space="preserve"> (lines 371 &amp; 402)</w:t>
      </w:r>
      <w:r w:rsidR="008B614F" w:rsidRPr="00752E30">
        <w:rPr>
          <w:i/>
          <w:sz w:val="22"/>
          <w:szCs w:val="22"/>
          <w:lang w:val="en-AU"/>
        </w:rPr>
        <w:t xml:space="preserve">, </w:t>
      </w:r>
      <w:r w:rsidR="00865EA3" w:rsidRPr="00752E30">
        <w:rPr>
          <w:i/>
          <w:sz w:val="22"/>
          <w:szCs w:val="22"/>
          <w:lang w:val="en-AU"/>
        </w:rPr>
        <w:t>c</w:t>
      </w:r>
      <w:r w:rsidR="0011507C" w:rsidRPr="00752E30">
        <w:rPr>
          <w:i/>
          <w:sz w:val="22"/>
          <w:szCs w:val="22"/>
          <w:lang w:val="en-AU"/>
        </w:rPr>
        <w:t xml:space="preserve">ould be to remove the word external to refer to </w:t>
      </w:r>
      <w:r w:rsidR="00E86E87">
        <w:rPr>
          <w:i/>
          <w:sz w:val="22"/>
          <w:szCs w:val="22"/>
          <w:lang w:val="en-AU"/>
        </w:rPr>
        <w:t>“</w:t>
      </w:r>
      <w:r w:rsidR="0011507C" w:rsidRPr="00752E30">
        <w:rPr>
          <w:i/>
          <w:sz w:val="22"/>
          <w:szCs w:val="22"/>
          <w:lang w:val="en-AU"/>
        </w:rPr>
        <w:t>stakeholders</w:t>
      </w:r>
      <w:r w:rsidR="00E86E87">
        <w:rPr>
          <w:i/>
          <w:sz w:val="22"/>
          <w:szCs w:val="22"/>
          <w:lang w:val="en-AU"/>
        </w:rPr>
        <w:t>”</w:t>
      </w:r>
      <w:r w:rsidR="0011507C" w:rsidRPr="00752E30">
        <w:rPr>
          <w:i/>
          <w:sz w:val="22"/>
          <w:szCs w:val="22"/>
          <w:lang w:val="en-AU"/>
        </w:rPr>
        <w:t>, which could include investors, workers</w:t>
      </w:r>
      <w:r w:rsidR="00E86E87">
        <w:rPr>
          <w:i/>
          <w:sz w:val="22"/>
          <w:szCs w:val="22"/>
          <w:lang w:val="en-AU"/>
        </w:rPr>
        <w:t>, unions</w:t>
      </w:r>
      <w:r w:rsidR="0011507C" w:rsidRPr="00752E30">
        <w:rPr>
          <w:i/>
          <w:sz w:val="22"/>
          <w:szCs w:val="22"/>
          <w:lang w:val="en-AU"/>
        </w:rPr>
        <w:t xml:space="preserve"> and others</w:t>
      </w:r>
      <w:r w:rsidR="00E86E87">
        <w:rPr>
          <w:i/>
          <w:sz w:val="22"/>
          <w:szCs w:val="22"/>
          <w:lang w:val="en-AU"/>
        </w:rPr>
        <w:t>.</w:t>
      </w:r>
    </w:p>
    <w:p w14:paraId="175802AB" w14:textId="2619AFAC" w:rsidR="008B614F" w:rsidRPr="00803B64" w:rsidRDefault="008B614F" w:rsidP="00752E30">
      <w:pPr>
        <w:jc w:val="both"/>
        <w:rPr>
          <w:sz w:val="22"/>
          <w:szCs w:val="22"/>
          <w:lang w:val="en-AU"/>
        </w:rPr>
      </w:pPr>
    </w:p>
    <w:p w14:paraId="044874F7" w14:textId="77777777" w:rsidR="0011507C" w:rsidRDefault="008B614F" w:rsidP="00752E30">
      <w:pPr>
        <w:jc w:val="both"/>
        <w:rPr>
          <w:sz w:val="22"/>
          <w:szCs w:val="22"/>
          <w:lang w:val="en-AU"/>
        </w:rPr>
      </w:pPr>
      <w:r w:rsidRPr="00803B64">
        <w:rPr>
          <w:sz w:val="22"/>
          <w:szCs w:val="22"/>
          <w:lang w:val="en-AU"/>
        </w:rPr>
        <w:t>p.27</w:t>
      </w:r>
      <w:r w:rsidR="000D7873" w:rsidRPr="00752E30">
        <w:rPr>
          <w:sz w:val="22"/>
          <w:szCs w:val="22"/>
          <w:lang w:val="en-AU"/>
        </w:rPr>
        <w:t>,</w:t>
      </w:r>
      <w:r w:rsidRPr="00752E30">
        <w:rPr>
          <w:b/>
          <w:sz w:val="22"/>
          <w:szCs w:val="22"/>
          <w:lang w:val="en-AU"/>
        </w:rPr>
        <w:t xml:space="preserve"> Question 3</w:t>
      </w:r>
      <w:r w:rsidRPr="00863625">
        <w:rPr>
          <w:sz w:val="22"/>
          <w:szCs w:val="22"/>
          <w:lang w:val="en-AU"/>
        </w:rPr>
        <w:t>:</w:t>
      </w:r>
      <w:r w:rsidR="00E12907" w:rsidRPr="00863625">
        <w:rPr>
          <w:sz w:val="22"/>
          <w:szCs w:val="22"/>
          <w:lang w:val="en-AU"/>
        </w:rPr>
        <w:t xml:space="preserve"> </w:t>
      </w:r>
      <w:r w:rsidRPr="00863625">
        <w:rPr>
          <w:sz w:val="22"/>
          <w:szCs w:val="22"/>
          <w:lang w:val="en-AU"/>
        </w:rPr>
        <w:t>Are</w:t>
      </w:r>
      <w:r w:rsidRPr="00803B64">
        <w:rPr>
          <w:sz w:val="22"/>
          <w:szCs w:val="22"/>
          <w:lang w:val="en-AU"/>
        </w:rPr>
        <w:t xml:space="preserve"> any of the topic-specific disclosures </w:t>
      </w:r>
      <w:r w:rsidR="00E12907" w:rsidRPr="00803B64">
        <w:rPr>
          <w:sz w:val="22"/>
          <w:szCs w:val="22"/>
          <w:lang w:val="en-AU"/>
        </w:rPr>
        <w:t>…</w:t>
      </w:r>
      <w:r w:rsidRPr="00803B64">
        <w:rPr>
          <w:sz w:val="22"/>
          <w:szCs w:val="22"/>
          <w:lang w:val="en-AU"/>
        </w:rPr>
        <w:t xml:space="preserve"> not understandable and/or feasible? If so, why, and, what, if any, wording revisions or guidance would you suggest?</w:t>
      </w:r>
    </w:p>
    <w:p w14:paraId="5AFFE34C" w14:textId="77777777" w:rsidR="005812F1" w:rsidRPr="00803B64" w:rsidRDefault="005812F1" w:rsidP="00752E30">
      <w:pPr>
        <w:jc w:val="both"/>
        <w:rPr>
          <w:sz w:val="22"/>
          <w:szCs w:val="22"/>
          <w:lang w:val="en-AU"/>
        </w:rPr>
      </w:pPr>
    </w:p>
    <w:p w14:paraId="78395BC3" w14:textId="2FACCB73" w:rsidR="00863625" w:rsidRPr="00E02984" w:rsidRDefault="00865EA3" w:rsidP="007044AE">
      <w:pPr>
        <w:pStyle w:val="ListParagraph"/>
        <w:numPr>
          <w:ilvl w:val="0"/>
          <w:numId w:val="1"/>
        </w:numPr>
        <w:jc w:val="both"/>
        <w:rPr>
          <w:i/>
          <w:sz w:val="22"/>
          <w:szCs w:val="22"/>
          <w:lang w:val="en-AU"/>
        </w:rPr>
      </w:pPr>
      <w:r w:rsidRPr="00E02984">
        <w:rPr>
          <w:i/>
          <w:sz w:val="22"/>
          <w:szCs w:val="22"/>
          <w:lang w:val="en-AU"/>
        </w:rPr>
        <w:t>The topic-specific disclosures are understandable and feasible. This publicly disclosed reporting will significantly increase transparency related to tax payments and will be useful to</w:t>
      </w:r>
      <w:r w:rsidR="00863625" w:rsidRPr="00E02984">
        <w:rPr>
          <w:i/>
          <w:sz w:val="22"/>
          <w:szCs w:val="22"/>
          <w:lang w:val="en-AU"/>
        </w:rPr>
        <w:t xml:space="preserve"> help investors ascertain tax risks. </w:t>
      </w:r>
      <w:r w:rsidR="00E02984" w:rsidRPr="00E02984">
        <w:rPr>
          <w:i/>
          <w:sz w:val="22"/>
          <w:szCs w:val="22"/>
          <w:lang w:val="en-AU"/>
        </w:rPr>
        <w:t xml:space="preserve">Given that companies are filing </w:t>
      </w:r>
      <w:proofErr w:type="spellStart"/>
      <w:proofErr w:type="gramStart"/>
      <w:r w:rsidR="00E02984" w:rsidRPr="00E02984">
        <w:rPr>
          <w:i/>
          <w:sz w:val="22"/>
          <w:szCs w:val="22"/>
          <w:lang w:val="en-AU"/>
        </w:rPr>
        <w:t>CbC</w:t>
      </w:r>
      <w:proofErr w:type="spellEnd"/>
      <w:proofErr w:type="gramEnd"/>
      <w:r w:rsidR="00E02984" w:rsidRPr="00E02984">
        <w:rPr>
          <w:i/>
          <w:sz w:val="22"/>
          <w:szCs w:val="22"/>
          <w:lang w:val="en-AU"/>
        </w:rPr>
        <w:t xml:space="preserve"> reports at the revenue agencies of member jurisdictions of the OECD Inclusive Framework on BEPS, the disclosure requirements proposed are reasonable. </w:t>
      </w:r>
    </w:p>
    <w:p w14:paraId="5E204589" w14:textId="426F15EF" w:rsidR="00E02984" w:rsidRPr="00F0772C" w:rsidRDefault="00863625" w:rsidP="00E02984">
      <w:pPr>
        <w:pStyle w:val="ListParagraph"/>
        <w:numPr>
          <w:ilvl w:val="0"/>
          <w:numId w:val="1"/>
        </w:numPr>
        <w:jc w:val="both"/>
        <w:rPr>
          <w:i/>
          <w:sz w:val="22"/>
          <w:szCs w:val="22"/>
          <w:lang w:val="en-AU"/>
        </w:rPr>
      </w:pPr>
      <w:r>
        <w:rPr>
          <w:i/>
          <w:sz w:val="22"/>
          <w:szCs w:val="22"/>
          <w:lang w:val="en-AU"/>
        </w:rPr>
        <w:t>W</w:t>
      </w:r>
      <w:r w:rsidR="00853ECC">
        <w:rPr>
          <w:i/>
          <w:sz w:val="22"/>
          <w:szCs w:val="22"/>
          <w:lang w:val="en-AU"/>
        </w:rPr>
        <w:t xml:space="preserve">e </w:t>
      </w:r>
      <w:r>
        <w:rPr>
          <w:i/>
          <w:sz w:val="22"/>
          <w:szCs w:val="22"/>
          <w:lang w:val="en-AU"/>
        </w:rPr>
        <w:t xml:space="preserve">support </w:t>
      </w:r>
      <w:r w:rsidR="00853ECC">
        <w:rPr>
          <w:i/>
          <w:sz w:val="22"/>
          <w:szCs w:val="22"/>
          <w:lang w:val="en-AU"/>
        </w:rPr>
        <w:t xml:space="preserve">the </w:t>
      </w:r>
      <w:r w:rsidR="00E02984">
        <w:rPr>
          <w:i/>
          <w:sz w:val="22"/>
          <w:szCs w:val="22"/>
          <w:lang w:val="en-AU"/>
        </w:rPr>
        <w:t xml:space="preserve">complete </w:t>
      </w:r>
      <w:r w:rsidR="00853ECC">
        <w:rPr>
          <w:i/>
          <w:sz w:val="22"/>
          <w:szCs w:val="22"/>
          <w:lang w:val="en-AU"/>
        </w:rPr>
        <w:t>alignment between the suggested disclosure</w:t>
      </w:r>
      <w:r>
        <w:rPr>
          <w:i/>
          <w:sz w:val="22"/>
          <w:szCs w:val="22"/>
          <w:lang w:val="en-AU"/>
        </w:rPr>
        <w:t>s</w:t>
      </w:r>
      <w:r w:rsidR="00853ECC">
        <w:rPr>
          <w:i/>
          <w:sz w:val="22"/>
          <w:szCs w:val="22"/>
          <w:lang w:val="en-AU"/>
        </w:rPr>
        <w:t xml:space="preserve"> and </w:t>
      </w:r>
      <w:r>
        <w:rPr>
          <w:i/>
          <w:sz w:val="22"/>
          <w:szCs w:val="22"/>
          <w:lang w:val="en-AU"/>
        </w:rPr>
        <w:t>the OECD’s BEPS Action 13 minimum standards</w:t>
      </w:r>
      <w:r w:rsidR="00E16EBE">
        <w:rPr>
          <w:i/>
          <w:sz w:val="22"/>
          <w:szCs w:val="22"/>
          <w:lang w:val="en-AU"/>
        </w:rPr>
        <w:t xml:space="preserve"> as seen in the model template for country-by-country reporting (Annex </w:t>
      </w:r>
      <w:r w:rsidR="00510E3E">
        <w:rPr>
          <w:i/>
          <w:sz w:val="22"/>
          <w:szCs w:val="22"/>
          <w:lang w:val="en-AU"/>
        </w:rPr>
        <w:t>III</w:t>
      </w:r>
      <w:r w:rsidR="00E16EBE">
        <w:rPr>
          <w:i/>
          <w:sz w:val="22"/>
          <w:szCs w:val="22"/>
          <w:lang w:val="en-AU"/>
        </w:rPr>
        <w:t xml:space="preserve"> to Chapter V of BEPS Action 13)</w:t>
      </w:r>
      <w:r>
        <w:rPr>
          <w:i/>
          <w:sz w:val="22"/>
          <w:szCs w:val="22"/>
          <w:lang w:val="en-AU"/>
        </w:rPr>
        <w:t>.</w:t>
      </w:r>
      <w:r w:rsidR="00E02984">
        <w:rPr>
          <w:i/>
          <w:sz w:val="22"/>
          <w:szCs w:val="22"/>
          <w:lang w:val="en-AU"/>
        </w:rPr>
        <w:t xml:space="preserve"> In this regard, the proposed disclosures are incomplete. We suggest that topics for disclosure include standards for Transfer pricing documentation – Master file (Annex I to Chapter V of BEPS Action 13) and for Transfer Pricing documentation – Local file Annex II to Chapter V). This publicly disclosed reporting will significantly increase transparency about the activities of the multinational and be useful for investors, workers’ representatives and other stakeholders to carry out their supervision tasks. Given that companies are already filing these reports to the </w:t>
      </w:r>
      <w:r w:rsidR="00E02984" w:rsidRPr="00F0772C">
        <w:rPr>
          <w:i/>
          <w:sz w:val="22"/>
          <w:szCs w:val="22"/>
          <w:lang w:val="en-AU"/>
        </w:rPr>
        <w:t>revenue agencies of member jurisdictions of the OECD Inclusive Framework on BEPS, the disclosure requirements proposed are reasonable</w:t>
      </w:r>
      <w:r w:rsidR="00E02984">
        <w:rPr>
          <w:i/>
          <w:sz w:val="22"/>
          <w:szCs w:val="22"/>
          <w:lang w:val="en-AU"/>
        </w:rPr>
        <w:t xml:space="preserve"> and come at no additional cost</w:t>
      </w:r>
      <w:r w:rsidR="004B58C2">
        <w:rPr>
          <w:i/>
          <w:sz w:val="22"/>
          <w:szCs w:val="22"/>
          <w:lang w:val="en-AU"/>
        </w:rPr>
        <w:t xml:space="preserve"> for companies</w:t>
      </w:r>
      <w:r w:rsidR="00E02984" w:rsidRPr="00F0772C">
        <w:rPr>
          <w:i/>
          <w:sz w:val="22"/>
          <w:szCs w:val="22"/>
          <w:lang w:val="en-AU"/>
        </w:rPr>
        <w:t xml:space="preserve">. </w:t>
      </w:r>
    </w:p>
    <w:p w14:paraId="3F8A7C81" w14:textId="2E58BAB8" w:rsidR="0011507C" w:rsidRPr="00752E30" w:rsidRDefault="0011507C" w:rsidP="00EA20E5">
      <w:pPr>
        <w:pStyle w:val="ListParagraph"/>
        <w:jc w:val="both"/>
        <w:rPr>
          <w:i/>
          <w:sz w:val="22"/>
          <w:szCs w:val="22"/>
          <w:lang w:val="en-AU"/>
        </w:rPr>
      </w:pPr>
    </w:p>
    <w:p w14:paraId="57C77C7A" w14:textId="67CD14D3" w:rsidR="004B705E" w:rsidRPr="00752E30" w:rsidRDefault="00865EA3" w:rsidP="00752E30">
      <w:pPr>
        <w:pStyle w:val="ListParagraph"/>
        <w:numPr>
          <w:ilvl w:val="0"/>
          <w:numId w:val="1"/>
        </w:numPr>
        <w:jc w:val="both"/>
        <w:rPr>
          <w:i/>
          <w:sz w:val="22"/>
          <w:szCs w:val="22"/>
          <w:lang w:val="en-AU"/>
        </w:rPr>
      </w:pPr>
      <w:r w:rsidRPr="00752E30">
        <w:rPr>
          <w:i/>
          <w:sz w:val="22"/>
          <w:szCs w:val="22"/>
          <w:lang w:val="en-AU"/>
        </w:rPr>
        <w:t xml:space="preserve">A suggested change (Line 428) could be to add “and/or workers” to the requirement to disclose the number of employees. This is necessary as many multinationals may have more contracted, or indirect employees, than direct employees. Having a number for both employees and workers </w:t>
      </w:r>
      <w:r w:rsidR="00983B1F" w:rsidRPr="00752E30">
        <w:rPr>
          <w:i/>
          <w:sz w:val="22"/>
          <w:szCs w:val="22"/>
          <w:lang w:val="en-AU"/>
        </w:rPr>
        <w:t>will</w:t>
      </w:r>
      <w:r w:rsidRPr="00752E30">
        <w:rPr>
          <w:i/>
          <w:sz w:val="22"/>
          <w:szCs w:val="22"/>
          <w:lang w:val="en-AU"/>
        </w:rPr>
        <w:t xml:space="preserve"> give a more accurate and meaningful reflection of real economic activity. Correspondingly, </w:t>
      </w:r>
      <w:r w:rsidR="00983B1F" w:rsidRPr="00752E30">
        <w:rPr>
          <w:i/>
          <w:sz w:val="22"/>
          <w:szCs w:val="22"/>
          <w:lang w:val="en-AU"/>
        </w:rPr>
        <w:t>the phrase “and an estimate of spending on workers” should be added to the reporting recommendations (Line 433).</w:t>
      </w:r>
    </w:p>
    <w:p w14:paraId="59BCBE07" w14:textId="77777777" w:rsidR="005F4BF0" w:rsidRDefault="005F4BF0" w:rsidP="00752E30">
      <w:pPr>
        <w:jc w:val="both"/>
        <w:rPr>
          <w:sz w:val="22"/>
          <w:szCs w:val="22"/>
          <w:lang w:val="en-AU"/>
        </w:rPr>
      </w:pPr>
      <w:bookmarkStart w:id="0" w:name="_GoBack"/>
      <w:bookmarkEnd w:id="0"/>
    </w:p>
    <w:p w14:paraId="7C6EF9FF" w14:textId="69360DCF" w:rsidR="004B705E" w:rsidRPr="00803B64" w:rsidRDefault="004B705E" w:rsidP="00752E30">
      <w:pPr>
        <w:jc w:val="both"/>
        <w:rPr>
          <w:sz w:val="22"/>
          <w:szCs w:val="22"/>
          <w:lang w:val="en-AU"/>
        </w:rPr>
      </w:pPr>
      <w:r w:rsidRPr="00803B64">
        <w:rPr>
          <w:sz w:val="22"/>
          <w:szCs w:val="22"/>
          <w:lang w:val="en-AU"/>
        </w:rPr>
        <w:t>p.29</w:t>
      </w:r>
      <w:r w:rsidR="000D7873" w:rsidRPr="00803B64">
        <w:rPr>
          <w:sz w:val="22"/>
          <w:szCs w:val="22"/>
          <w:lang w:val="en-AU"/>
        </w:rPr>
        <w:t>,</w:t>
      </w:r>
      <w:r w:rsidRPr="00803B64">
        <w:rPr>
          <w:sz w:val="22"/>
          <w:szCs w:val="22"/>
          <w:lang w:val="en-AU"/>
        </w:rPr>
        <w:t xml:space="preserve"> </w:t>
      </w:r>
      <w:r w:rsidRPr="00803B64">
        <w:rPr>
          <w:b/>
          <w:sz w:val="22"/>
          <w:szCs w:val="22"/>
          <w:lang w:val="en-AU"/>
        </w:rPr>
        <w:t>Question 4</w:t>
      </w:r>
      <w:r w:rsidRPr="00803B64">
        <w:rPr>
          <w:sz w:val="22"/>
          <w:szCs w:val="22"/>
          <w:lang w:val="en-AU"/>
        </w:rPr>
        <w:t>:</w:t>
      </w:r>
      <w:r w:rsidR="00E12907" w:rsidRPr="00803B64">
        <w:rPr>
          <w:sz w:val="22"/>
          <w:szCs w:val="22"/>
          <w:lang w:val="en-AU"/>
        </w:rPr>
        <w:t xml:space="preserve"> </w:t>
      </w:r>
      <w:r w:rsidRPr="00803B64">
        <w:rPr>
          <w:sz w:val="22"/>
          <w:szCs w:val="22"/>
          <w:lang w:val="en-AU"/>
        </w:rPr>
        <w:t xml:space="preserve">Do you have any comments on the definitions included in the glossary </w:t>
      </w:r>
      <w:r w:rsidR="00E12907" w:rsidRPr="00803B64">
        <w:rPr>
          <w:sz w:val="22"/>
          <w:szCs w:val="22"/>
          <w:lang w:val="en-AU"/>
        </w:rPr>
        <w:t xml:space="preserve">… </w:t>
      </w:r>
      <w:r w:rsidRPr="00803B64">
        <w:rPr>
          <w:sz w:val="22"/>
          <w:szCs w:val="22"/>
          <w:lang w:val="en-AU"/>
        </w:rPr>
        <w:t>(line numbers 588 - 625)?</w:t>
      </w:r>
      <w:r w:rsidR="00E12907" w:rsidRPr="00803B64">
        <w:rPr>
          <w:sz w:val="22"/>
          <w:szCs w:val="22"/>
          <w:lang w:val="en-AU"/>
        </w:rPr>
        <w:t xml:space="preserve"> </w:t>
      </w:r>
      <w:r w:rsidRPr="00803B64">
        <w:rPr>
          <w:sz w:val="22"/>
          <w:szCs w:val="22"/>
          <w:lang w:val="en-AU"/>
        </w:rPr>
        <w:t>Are there any additional terms in the draft Standard that need to be defined?</w:t>
      </w:r>
    </w:p>
    <w:p w14:paraId="7F40A329" w14:textId="6DF1CE1F" w:rsidR="004B705E" w:rsidRPr="00803B64" w:rsidRDefault="004B705E" w:rsidP="00752E30">
      <w:pPr>
        <w:jc w:val="both"/>
        <w:rPr>
          <w:sz w:val="22"/>
          <w:szCs w:val="22"/>
          <w:lang w:val="en-AU"/>
        </w:rPr>
      </w:pPr>
    </w:p>
    <w:p w14:paraId="3095E1D0" w14:textId="3BE74DA7" w:rsidR="001F6EEB" w:rsidRPr="00803B64" w:rsidRDefault="004B705E" w:rsidP="00752E30">
      <w:pPr>
        <w:jc w:val="both"/>
        <w:rPr>
          <w:sz w:val="22"/>
          <w:szCs w:val="22"/>
          <w:lang w:val="en-AU"/>
        </w:rPr>
      </w:pPr>
      <w:r w:rsidRPr="00803B64">
        <w:rPr>
          <w:sz w:val="22"/>
          <w:szCs w:val="22"/>
          <w:lang w:val="en-AU"/>
        </w:rPr>
        <w:t>p.31</w:t>
      </w:r>
      <w:r w:rsidR="000D7873" w:rsidRPr="00803B64">
        <w:rPr>
          <w:sz w:val="22"/>
          <w:szCs w:val="22"/>
          <w:lang w:val="en-AU"/>
        </w:rPr>
        <w:t>,</w:t>
      </w:r>
      <w:r w:rsidRPr="00803B64">
        <w:rPr>
          <w:sz w:val="22"/>
          <w:szCs w:val="22"/>
          <w:lang w:val="en-AU"/>
        </w:rPr>
        <w:t xml:space="preserve"> </w:t>
      </w:r>
      <w:r w:rsidRPr="00803B64">
        <w:rPr>
          <w:b/>
          <w:sz w:val="22"/>
          <w:szCs w:val="22"/>
          <w:lang w:val="en-AU"/>
        </w:rPr>
        <w:t>Question 5</w:t>
      </w:r>
      <w:r w:rsidRPr="00803B64">
        <w:rPr>
          <w:sz w:val="22"/>
          <w:szCs w:val="22"/>
          <w:lang w:val="en-AU"/>
        </w:rPr>
        <w:t>:</w:t>
      </w:r>
      <w:r w:rsidR="00E12907" w:rsidRPr="00803B64">
        <w:rPr>
          <w:sz w:val="22"/>
          <w:szCs w:val="22"/>
          <w:lang w:val="en-AU"/>
        </w:rPr>
        <w:t xml:space="preserve"> </w:t>
      </w:r>
      <w:r w:rsidRPr="00803B64">
        <w:rPr>
          <w:sz w:val="22"/>
          <w:szCs w:val="22"/>
          <w:lang w:val="en-AU"/>
        </w:rPr>
        <w:t xml:space="preserve">Are there additional references, other than those listed </w:t>
      </w:r>
      <w:r w:rsidR="00E12907" w:rsidRPr="00803B64">
        <w:rPr>
          <w:sz w:val="22"/>
          <w:szCs w:val="22"/>
          <w:lang w:val="en-AU"/>
        </w:rPr>
        <w:t>…</w:t>
      </w:r>
      <w:r w:rsidRPr="00803B64">
        <w:rPr>
          <w:sz w:val="22"/>
          <w:szCs w:val="22"/>
          <w:lang w:val="en-AU"/>
        </w:rPr>
        <w:t xml:space="preserve"> (line numbers 626 - 635), that could be useful in understanding and applying the Standard?</w:t>
      </w:r>
    </w:p>
    <w:p w14:paraId="3E8C5EB8" w14:textId="2A1A9E4C" w:rsidR="004B705E" w:rsidRPr="00803B64" w:rsidRDefault="004B705E" w:rsidP="00752E30">
      <w:pPr>
        <w:jc w:val="both"/>
        <w:rPr>
          <w:sz w:val="22"/>
          <w:szCs w:val="22"/>
          <w:lang w:val="en-AU"/>
        </w:rPr>
      </w:pPr>
    </w:p>
    <w:p w14:paraId="7235FD70" w14:textId="0640E3A2" w:rsidR="004B705E" w:rsidRPr="00803B64" w:rsidRDefault="004B705E" w:rsidP="00752E30">
      <w:pPr>
        <w:jc w:val="both"/>
        <w:rPr>
          <w:sz w:val="22"/>
          <w:szCs w:val="22"/>
          <w:lang w:val="en-AU"/>
        </w:rPr>
      </w:pPr>
      <w:r w:rsidRPr="00803B64">
        <w:rPr>
          <w:sz w:val="22"/>
          <w:szCs w:val="22"/>
          <w:lang w:val="en-AU"/>
        </w:rPr>
        <w:t>p.32</w:t>
      </w:r>
      <w:r w:rsidR="000D7873" w:rsidRPr="00803B64">
        <w:rPr>
          <w:sz w:val="22"/>
          <w:szCs w:val="22"/>
          <w:lang w:val="en-AU"/>
        </w:rPr>
        <w:t>,</w:t>
      </w:r>
      <w:r w:rsidRPr="00803B64">
        <w:rPr>
          <w:b/>
          <w:sz w:val="22"/>
          <w:szCs w:val="22"/>
          <w:lang w:val="en-AU"/>
        </w:rPr>
        <w:t xml:space="preserve"> </w:t>
      </w:r>
      <w:r w:rsidRPr="00752E30">
        <w:rPr>
          <w:b/>
          <w:sz w:val="22"/>
          <w:szCs w:val="22"/>
          <w:lang w:val="en-AU"/>
        </w:rPr>
        <w:t>Question 6</w:t>
      </w:r>
      <w:r w:rsidRPr="00863625">
        <w:rPr>
          <w:sz w:val="22"/>
          <w:szCs w:val="22"/>
          <w:lang w:val="en-AU"/>
        </w:rPr>
        <w:t>:</w:t>
      </w:r>
      <w:r w:rsidR="00E12907" w:rsidRPr="00803B64">
        <w:rPr>
          <w:sz w:val="22"/>
          <w:szCs w:val="22"/>
          <w:lang w:val="en-AU"/>
        </w:rPr>
        <w:t xml:space="preserve"> </w:t>
      </w:r>
      <w:r w:rsidRPr="00803B64">
        <w:rPr>
          <w:sz w:val="22"/>
          <w:szCs w:val="22"/>
          <w:lang w:val="en-AU"/>
        </w:rPr>
        <w:t xml:space="preserve">Are there any disclosures </w:t>
      </w:r>
      <w:r w:rsidR="00E12907" w:rsidRPr="00803B64">
        <w:rPr>
          <w:sz w:val="22"/>
          <w:szCs w:val="22"/>
          <w:lang w:val="en-AU"/>
        </w:rPr>
        <w:t xml:space="preserve">… </w:t>
      </w:r>
      <w:r w:rsidRPr="00803B64">
        <w:rPr>
          <w:sz w:val="22"/>
          <w:szCs w:val="22"/>
          <w:lang w:val="en-AU"/>
        </w:rPr>
        <w:t>that are not critical to understanding an organization’s tax practices?</w:t>
      </w:r>
      <w:r w:rsidR="00E12907" w:rsidRPr="00803B64">
        <w:rPr>
          <w:sz w:val="22"/>
          <w:szCs w:val="22"/>
          <w:lang w:val="en-AU"/>
        </w:rPr>
        <w:t xml:space="preserve"> </w:t>
      </w:r>
      <w:r w:rsidRPr="00803B64">
        <w:rPr>
          <w:sz w:val="22"/>
          <w:szCs w:val="22"/>
          <w:lang w:val="en-AU"/>
        </w:rPr>
        <w:t xml:space="preserve">Are there any critical disclosures missing </w:t>
      </w:r>
      <w:r w:rsidR="00E12907" w:rsidRPr="00803B64">
        <w:rPr>
          <w:sz w:val="22"/>
          <w:szCs w:val="22"/>
          <w:lang w:val="en-AU"/>
        </w:rPr>
        <w:t>…</w:t>
      </w:r>
      <w:r w:rsidRPr="00803B64">
        <w:rPr>
          <w:sz w:val="22"/>
          <w:szCs w:val="22"/>
          <w:lang w:val="en-AU"/>
        </w:rPr>
        <w:t xml:space="preserve"> that are necessary to understanding an organization’s tax practices?</w:t>
      </w:r>
    </w:p>
    <w:p w14:paraId="6C8B4076" w14:textId="77777777" w:rsidR="00863625" w:rsidRDefault="00863625" w:rsidP="00752E30">
      <w:pPr>
        <w:pStyle w:val="ListParagraph"/>
        <w:jc w:val="both"/>
        <w:rPr>
          <w:sz w:val="22"/>
          <w:szCs w:val="22"/>
          <w:lang w:val="en-AU"/>
        </w:rPr>
      </w:pPr>
    </w:p>
    <w:p w14:paraId="1452FD67" w14:textId="15AFBC8A" w:rsidR="00863625" w:rsidRPr="00EC5D05" w:rsidRDefault="004F2512" w:rsidP="00863625">
      <w:pPr>
        <w:pStyle w:val="ListParagraph"/>
        <w:numPr>
          <w:ilvl w:val="0"/>
          <w:numId w:val="1"/>
        </w:numPr>
        <w:jc w:val="both"/>
        <w:rPr>
          <w:i/>
          <w:sz w:val="22"/>
          <w:szCs w:val="22"/>
          <w:lang w:val="en-AU"/>
        </w:rPr>
      </w:pPr>
      <w:r w:rsidRPr="00752E30">
        <w:rPr>
          <w:i/>
          <w:sz w:val="22"/>
          <w:szCs w:val="22"/>
          <w:lang w:val="en-AU"/>
        </w:rPr>
        <w:t>Public disclosure of country by country reporting of payments to governments is essential to have a complete understanding of a reporting entity’s tax practices.</w:t>
      </w:r>
      <w:r w:rsidR="00863625">
        <w:rPr>
          <w:i/>
          <w:sz w:val="22"/>
          <w:szCs w:val="22"/>
          <w:lang w:val="en-AU"/>
        </w:rPr>
        <w:t xml:space="preserve"> We support the alignment between the suggested disclosures and the Country-by-Country reporting obligations of multinational groups under the OECD’s BEPS Action 13 minimum standards. Given that companies are filing </w:t>
      </w:r>
      <w:proofErr w:type="spellStart"/>
      <w:proofErr w:type="gramStart"/>
      <w:r w:rsidR="00863625">
        <w:rPr>
          <w:i/>
          <w:sz w:val="22"/>
          <w:szCs w:val="22"/>
          <w:lang w:val="en-AU"/>
        </w:rPr>
        <w:t>CbC</w:t>
      </w:r>
      <w:proofErr w:type="spellEnd"/>
      <w:proofErr w:type="gramEnd"/>
      <w:r w:rsidR="00863625">
        <w:rPr>
          <w:i/>
          <w:sz w:val="22"/>
          <w:szCs w:val="22"/>
          <w:lang w:val="en-AU"/>
        </w:rPr>
        <w:t xml:space="preserve"> reports at the revenue agencies of member jurisdictions of the OECD Inclusive Framework on BEPS, the disclosure requirements proposed are reasonable. </w:t>
      </w:r>
    </w:p>
    <w:p w14:paraId="11F36FBD" w14:textId="43124EF2" w:rsidR="004B705E" w:rsidRPr="00803B64" w:rsidRDefault="004B705E" w:rsidP="00752E30">
      <w:pPr>
        <w:jc w:val="both"/>
        <w:rPr>
          <w:sz w:val="22"/>
          <w:szCs w:val="22"/>
          <w:lang w:val="en-AU"/>
        </w:rPr>
      </w:pPr>
    </w:p>
    <w:p w14:paraId="306B76FA" w14:textId="374DCA42" w:rsidR="004B705E" w:rsidRPr="00803B64" w:rsidRDefault="004B705E" w:rsidP="00752E30">
      <w:pPr>
        <w:jc w:val="both"/>
        <w:rPr>
          <w:sz w:val="22"/>
          <w:szCs w:val="22"/>
          <w:lang w:val="en-AU"/>
        </w:rPr>
      </w:pPr>
      <w:r w:rsidRPr="00803B64">
        <w:rPr>
          <w:sz w:val="22"/>
          <w:szCs w:val="22"/>
          <w:lang w:val="en-AU"/>
        </w:rPr>
        <w:t>p.33</w:t>
      </w:r>
      <w:r w:rsidR="000D7873" w:rsidRPr="00803B64">
        <w:rPr>
          <w:sz w:val="22"/>
          <w:szCs w:val="22"/>
          <w:lang w:val="en-AU"/>
        </w:rPr>
        <w:t>,</w:t>
      </w:r>
      <w:r w:rsidRPr="00803B64">
        <w:rPr>
          <w:b/>
          <w:sz w:val="22"/>
          <w:szCs w:val="22"/>
          <w:lang w:val="en-AU"/>
        </w:rPr>
        <w:t xml:space="preserve"> Questions 7</w:t>
      </w:r>
      <w:r w:rsidR="00E12907" w:rsidRPr="00803B64">
        <w:rPr>
          <w:b/>
          <w:sz w:val="22"/>
          <w:szCs w:val="22"/>
          <w:lang w:val="en-AU"/>
        </w:rPr>
        <w:t xml:space="preserve"> &amp; 8</w:t>
      </w:r>
      <w:r w:rsidR="00E12907" w:rsidRPr="00803B64">
        <w:rPr>
          <w:sz w:val="22"/>
          <w:szCs w:val="22"/>
          <w:lang w:val="en-AU"/>
        </w:rPr>
        <w:t>: Only relevant to reporting organisations</w:t>
      </w:r>
    </w:p>
    <w:p w14:paraId="603FD357" w14:textId="2EEBA880" w:rsidR="00E12907" w:rsidRPr="00803B64" w:rsidRDefault="00C7554A" w:rsidP="00752E30">
      <w:pPr>
        <w:jc w:val="both"/>
        <w:rPr>
          <w:sz w:val="22"/>
          <w:szCs w:val="22"/>
          <w:lang w:val="en-AU"/>
        </w:rPr>
      </w:pPr>
      <w:r w:rsidRPr="00803B64">
        <w:rPr>
          <w:sz w:val="22"/>
          <w:szCs w:val="22"/>
          <w:lang w:val="en-AU"/>
        </w:rPr>
        <w:t>…</w:t>
      </w:r>
      <w:r w:rsidR="00E12907" w:rsidRPr="00803B64">
        <w:rPr>
          <w:sz w:val="22"/>
          <w:szCs w:val="22"/>
          <w:lang w:val="en-AU"/>
        </w:rPr>
        <w:t xml:space="preserve">do you believe the draft Standard as it is presented in this form and/or the topic of tax and payments to governments, would be material for your organization? </w:t>
      </w:r>
      <w:r w:rsidRPr="00803B64">
        <w:rPr>
          <w:sz w:val="22"/>
          <w:szCs w:val="22"/>
          <w:lang w:val="en-AU"/>
        </w:rPr>
        <w:t>…</w:t>
      </w:r>
      <w:r w:rsidR="00E12907" w:rsidRPr="00803B64">
        <w:rPr>
          <w:sz w:val="22"/>
          <w:szCs w:val="22"/>
          <w:lang w:val="en-AU"/>
        </w:rPr>
        <w:t>how do the disclosures … compare to what you are currently reporting? Is your organization subject to any existing public reporting requirements on tax and payments to governments? If so, which one/s?</w:t>
      </w:r>
    </w:p>
    <w:p w14:paraId="2BDC155C" w14:textId="7DF6B590" w:rsidR="00E12907" w:rsidRPr="00803B64" w:rsidRDefault="00E12907" w:rsidP="00752E30">
      <w:pPr>
        <w:jc w:val="both"/>
        <w:rPr>
          <w:sz w:val="22"/>
          <w:szCs w:val="22"/>
          <w:lang w:val="en-AU"/>
        </w:rPr>
      </w:pPr>
    </w:p>
    <w:p w14:paraId="79926200" w14:textId="4128AE46" w:rsidR="00D9320D" w:rsidRDefault="00E12907" w:rsidP="00752E30">
      <w:pPr>
        <w:jc w:val="both"/>
        <w:rPr>
          <w:sz w:val="22"/>
          <w:szCs w:val="22"/>
          <w:lang w:val="en-AU"/>
        </w:rPr>
      </w:pPr>
      <w:r w:rsidRPr="00803B64">
        <w:rPr>
          <w:sz w:val="22"/>
          <w:szCs w:val="22"/>
          <w:lang w:val="en-AU"/>
        </w:rPr>
        <w:t>p.34</w:t>
      </w:r>
      <w:r w:rsidR="000D7873" w:rsidRPr="00803B64">
        <w:rPr>
          <w:sz w:val="22"/>
          <w:szCs w:val="22"/>
          <w:lang w:val="en-AU"/>
        </w:rPr>
        <w:t>,</w:t>
      </w:r>
      <w:r w:rsidRPr="00803B64">
        <w:rPr>
          <w:b/>
          <w:sz w:val="22"/>
          <w:szCs w:val="22"/>
          <w:lang w:val="en-AU"/>
        </w:rPr>
        <w:t xml:space="preserve"> Question 9</w:t>
      </w:r>
      <w:r w:rsidRPr="00803B64">
        <w:rPr>
          <w:sz w:val="22"/>
          <w:szCs w:val="22"/>
          <w:lang w:val="en-AU"/>
        </w:rPr>
        <w:t>:</w:t>
      </w:r>
      <w:r w:rsidR="001F6EEB" w:rsidRPr="00803B64">
        <w:rPr>
          <w:sz w:val="22"/>
          <w:szCs w:val="22"/>
          <w:lang w:val="en-AU"/>
        </w:rPr>
        <w:t xml:space="preserve"> </w:t>
      </w:r>
      <w:r w:rsidRPr="00803B64">
        <w:rPr>
          <w:sz w:val="22"/>
          <w:szCs w:val="22"/>
          <w:lang w:val="en-AU"/>
        </w:rPr>
        <w:t>Do you have any other comments or suggestions related to this draft Standard?</w:t>
      </w:r>
    </w:p>
    <w:p w14:paraId="468C6804" w14:textId="77777777" w:rsidR="00853ECC" w:rsidRDefault="00853ECC" w:rsidP="00752E30">
      <w:pPr>
        <w:jc w:val="both"/>
        <w:rPr>
          <w:sz w:val="22"/>
          <w:szCs w:val="22"/>
          <w:lang w:val="en-AU"/>
        </w:rPr>
      </w:pPr>
    </w:p>
    <w:p w14:paraId="137F2C03" w14:textId="121CDFBC" w:rsidR="00853ECC" w:rsidRPr="00752E30" w:rsidRDefault="00863625" w:rsidP="00752E30">
      <w:pPr>
        <w:pStyle w:val="ListParagraph"/>
        <w:numPr>
          <w:ilvl w:val="0"/>
          <w:numId w:val="4"/>
        </w:numPr>
        <w:jc w:val="both"/>
        <w:rPr>
          <w:sz w:val="22"/>
          <w:szCs w:val="22"/>
          <w:lang w:val="en-AU"/>
        </w:rPr>
      </w:pPr>
      <w:r w:rsidRPr="00752E30">
        <w:rPr>
          <w:i/>
          <w:sz w:val="22"/>
          <w:szCs w:val="22"/>
          <w:lang w:val="en-AU"/>
        </w:rPr>
        <w:t xml:space="preserve">The GRI disclosures should closely follow the evolution in </w:t>
      </w:r>
      <w:r w:rsidR="004B58C2">
        <w:rPr>
          <w:i/>
          <w:sz w:val="22"/>
          <w:szCs w:val="22"/>
          <w:lang w:val="en-AU"/>
        </w:rPr>
        <w:t xml:space="preserve">Transfer Pricing Documentation and </w:t>
      </w:r>
      <w:proofErr w:type="spellStart"/>
      <w:proofErr w:type="gramStart"/>
      <w:r w:rsidRPr="00752E30">
        <w:rPr>
          <w:i/>
          <w:sz w:val="22"/>
          <w:szCs w:val="22"/>
          <w:lang w:val="en-AU"/>
        </w:rPr>
        <w:t>CbC</w:t>
      </w:r>
      <w:proofErr w:type="spellEnd"/>
      <w:proofErr w:type="gramEnd"/>
      <w:r w:rsidRPr="00752E30">
        <w:rPr>
          <w:i/>
          <w:sz w:val="22"/>
          <w:szCs w:val="22"/>
          <w:lang w:val="en-AU"/>
        </w:rPr>
        <w:t xml:space="preserve"> reporting under the BEPS Action 13 to ensure consistency</w:t>
      </w:r>
      <w:r>
        <w:rPr>
          <w:i/>
          <w:sz w:val="22"/>
          <w:szCs w:val="22"/>
          <w:lang w:val="en-AU"/>
        </w:rPr>
        <w:t xml:space="preserve"> between the GRI and the OECD BEPS reporting requirements.</w:t>
      </w:r>
    </w:p>
    <w:sectPr w:rsidR="00853ECC" w:rsidRPr="00752E30" w:rsidSect="000D7873">
      <w:headerReference w:type="default" r:id="rId9"/>
      <w:footerReference w:type="default" r:id="rId10"/>
      <w:pgSz w:w="11900" w:h="16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EF4A8" w14:textId="77777777" w:rsidR="00BF07E7" w:rsidRDefault="00BF07E7" w:rsidP="006108AF">
      <w:r>
        <w:separator/>
      </w:r>
    </w:p>
  </w:endnote>
  <w:endnote w:type="continuationSeparator" w:id="0">
    <w:p w14:paraId="26B3D954" w14:textId="77777777" w:rsidR="00BF07E7" w:rsidRDefault="00BF07E7" w:rsidP="0061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864B4" w14:textId="2B6BC285" w:rsidR="00557AAC" w:rsidRDefault="00BF07E7" w:rsidP="00557AAC">
    <w:pPr>
      <w:pStyle w:val="Footer"/>
      <w:jc w:val="center"/>
      <w:rPr>
        <w:rStyle w:val="Hyperlink"/>
        <w:sz w:val="20"/>
        <w:szCs w:val="20"/>
        <w:lang w:val="en-AU"/>
      </w:rPr>
    </w:pPr>
    <w:hyperlink r:id="rId1" w:history="1">
      <w:r w:rsidR="00557AAC" w:rsidRPr="00557AAC">
        <w:rPr>
          <w:rStyle w:val="Hyperlink"/>
          <w:sz w:val="20"/>
          <w:szCs w:val="20"/>
          <w:lang w:val="en-AU"/>
        </w:rPr>
        <w:t>cictar.org</w:t>
      </w:r>
    </w:hyperlink>
  </w:p>
  <w:p w14:paraId="12DE6A52" w14:textId="79A17D9D" w:rsidR="003A54C8" w:rsidRPr="00557AAC" w:rsidRDefault="003A54C8" w:rsidP="00557AAC">
    <w:pPr>
      <w:pStyle w:val="Footer"/>
      <w:jc w:val="center"/>
      <w:rPr>
        <w:sz w:val="20"/>
        <w:szCs w:val="20"/>
        <w:lang w:val="en-AU"/>
      </w:rPr>
    </w:pPr>
    <w:r>
      <w:rPr>
        <w:rStyle w:val="Hyperlink"/>
        <w:sz w:val="20"/>
        <w:szCs w:val="20"/>
        <w:lang w:val="en-AU"/>
      </w:rPr>
      <w:t>workerscapital.org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0A610" w14:textId="77777777" w:rsidR="00BF07E7" w:rsidRDefault="00BF07E7" w:rsidP="006108AF">
      <w:r>
        <w:separator/>
      </w:r>
    </w:p>
  </w:footnote>
  <w:footnote w:type="continuationSeparator" w:id="0">
    <w:p w14:paraId="0A023EFB" w14:textId="77777777" w:rsidR="00BF07E7" w:rsidRDefault="00BF07E7" w:rsidP="00610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3545E" w14:textId="63F58CDB" w:rsidR="006108AF" w:rsidRDefault="006108AF" w:rsidP="006108AF">
    <w:pPr>
      <w:pStyle w:val="Header"/>
      <w:jc w:val="center"/>
    </w:pPr>
    <w:r>
      <w:rPr>
        <w:b/>
        <w:noProof/>
        <w:lang w:val="en-CA" w:eastAsia="en-CA"/>
      </w:rPr>
      <w:drawing>
        <wp:inline distT="0" distB="0" distL="0" distR="0" wp14:anchorId="6357B429" wp14:editId="73A1DFE3">
          <wp:extent cx="1104900" cy="407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il.png"/>
                  <pic:cNvPicPr/>
                </pic:nvPicPr>
                <pic:blipFill>
                  <a:blip r:embed="rId1">
                    <a:extLst>
                      <a:ext uri="{28A0092B-C50C-407E-A947-70E740481C1C}">
                        <a14:useLocalDpi xmlns:a14="http://schemas.microsoft.com/office/drawing/2010/main" val="0"/>
                      </a:ext>
                    </a:extLst>
                  </a:blip>
                  <a:stretch>
                    <a:fillRect/>
                  </a:stretch>
                </pic:blipFill>
                <pic:spPr>
                  <a:xfrm>
                    <a:off x="0" y="0"/>
                    <a:ext cx="1116401" cy="411305"/>
                  </a:xfrm>
                  <a:prstGeom prst="rect">
                    <a:avLst/>
                  </a:prstGeom>
                </pic:spPr>
              </pic:pic>
            </a:graphicData>
          </a:graphic>
        </wp:inline>
      </w:drawing>
    </w:r>
    <w:r w:rsidR="003A54C8">
      <w:rPr>
        <w:i/>
        <w:noProof/>
        <w:sz w:val="22"/>
        <w:szCs w:val="22"/>
        <w:lang w:val="en-CA" w:eastAsia="en-CA"/>
      </w:rPr>
      <w:drawing>
        <wp:inline distT="0" distB="0" distL="0" distR="0" wp14:anchorId="5E298EF7" wp14:editId="2C821B26">
          <wp:extent cx="1111250" cy="41272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C_logo_mediu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5072" cy="4438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2AF3"/>
    <w:multiLevelType w:val="hybridMultilevel"/>
    <w:tmpl w:val="741E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C5EB6"/>
    <w:multiLevelType w:val="hybridMultilevel"/>
    <w:tmpl w:val="7348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744FE"/>
    <w:multiLevelType w:val="hybridMultilevel"/>
    <w:tmpl w:val="D576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583A84"/>
    <w:multiLevelType w:val="hybridMultilevel"/>
    <w:tmpl w:val="35068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4F"/>
    <w:rsid w:val="000C1A43"/>
    <w:rsid w:val="000D181E"/>
    <w:rsid w:val="000D7873"/>
    <w:rsid w:val="000E2D39"/>
    <w:rsid w:val="0011507C"/>
    <w:rsid w:val="0012567A"/>
    <w:rsid w:val="001F6EEB"/>
    <w:rsid w:val="003A54C8"/>
    <w:rsid w:val="004133F5"/>
    <w:rsid w:val="0044379C"/>
    <w:rsid w:val="00446D4B"/>
    <w:rsid w:val="004B58C2"/>
    <w:rsid w:val="004B705E"/>
    <w:rsid w:val="004F2512"/>
    <w:rsid w:val="00510E3E"/>
    <w:rsid w:val="0055346C"/>
    <w:rsid w:val="00557AAC"/>
    <w:rsid w:val="005812F1"/>
    <w:rsid w:val="005C3ED7"/>
    <w:rsid w:val="005F4BF0"/>
    <w:rsid w:val="006108AF"/>
    <w:rsid w:val="0064044B"/>
    <w:rsid w:val="006B4AE0"/>
    <w:rsid w:val="007044AE"/>
    <w:rsid w:val="00730355"/>
    <w:rsid w:val="00752E30"/>
    <w:rsid w:val="007C76DC"/>
    <w:rsid w:val="007F5545"/>
    <w:rsid w:val="00803B64"/>
    <w:rsid w:val="00853ECC"/>
    <w:rsid w:val="00863625"/>
    <w:rsid w:val="00865EA3"/>
    <w:rsid w:val="008B614F"/>
    <w:rsid w:val="0090130B"/>
    <w:rsid w:val="00983B1F"/>
    <w:rsid w:val="00AC0F95"/>
    <w:rsid w:val="00B83F71"/>
    <w:rsid w:val="00B8703B"/>
    <w:rsid w:val="00BF07E7"/>
    <w:rsid w:val="00C30756"/>
    <w:rsid w:val="00C7554A"/>
    <w:rsid w:val="00C96D02"/>
    <w:rsid w:val="00D5201E"/>
    <w:rsid w:val="00D9320D"/>
    <w:rsid w:val="00E02984"/>
    <w:rsid w:val="00E12907"/>
    <w:rsid w:val="00E16EBE"/>
    <w:rsid w:val="00E86E87"/>
    <w:rsid w:val="00E904A0"/>
    <w:rsid w:val="00E964EC"/>
    <w:rsid w:val="00EA20E5"/>
    <w:rsid w:val="00EB3145"/>
    <w:rsid w:val="00EE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05A0"/>
  <w14:defaultImageDpi w14:val="32767"/>
  <w15:chartTrackingRefBased/>
  <w15:docId w15:val="{A4F0055F-39CE-BF40-BC41-7A3B4C21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14F"/>
    <w:pPr>
      <w:ind w:left="720"/>
      <w:contextualSpacing/>
    </w:pPr>
  </w:style>
  <w:style w:type="paragraph" w:styleId="Header">
    <w:name w:val="header"/>
    <w:basedOn w:val="Normal"/>
    <w:link w:val="HeaderChar"/>
    <w:uiPriority w:val="99"/>
    <w:unhideWhenUsed/>
    <w:rsid w:val="006108AF"/>
    <w:pPr>
      <w:tabs>
        <w:tab w:val="center" w:pos="4680"/>
        <w:tab w:val="right" w:pos="9360"/>
      </w:tabs>
    </w:pPr>
  </w:style>
  <w:style w:type="character" w:customStyle="1" w:styleId="HeaderChar">
    <w:name w:val="Header Char"/>
    <w:basedOn w:val="DefaultParagraphFont"/>
    <w:link w:val="Header"/>
    <w:uiPriority w:val="99"/>
    <w:rsid w:val="006108AF"/>
  </w:style>
  <w:style w:type="paragraph" w:styleId="Footer">
    <w:name w:val="footer"/>
    <w:basedOn w:val="Normal"/>
    <w:link w:val="FooterChar"/>
    <w:uiPriority w:val="99"/>
    <w:unhideWhenUsed/>
    <w:rsid w:val="006108AF"/>
    <w:pPr>
      <w:tabs>
        <w:tab w:val="center" w:pos="4680"/>
        <w:tab w:val="right" w:pos="9360"/>
      </w:tabs>
    </w:pPr>
  </w:style>
  <w:style w:type="character" w:customStyle="1" w:styleId="FooterChar">
    <w:name w:val="Footer Char"/>
    <w:basedOn w:val="DefaultParagraphFont"/>
    <w:link w:val="Footer"/>
    <w:uiPriority w:val="99"/>
    <w:rsid w:val="006108AF"/>
  </w:style>
  <w:style w:type="character" w:styleId="Hyperlink">
    <w:name w:val="Hyperlink"/>
    <w:basedOn w:val="DefaultParagraphFont"/>
    <w:uiPriority w:val="99"/>
    <w:unhideWhenUsed/>
    <w:rsid w:val="00557AAC"/>
    <w:rPr>
      <w:color w:val="0563C1" w:themeColor="hyperlink"/>
      <w:u w:val="single"/>
    </w:rPr>
  </w:style>
  <w:style w:type="character" w:customStyle="1" w:styleId="UnresolvedMention1">
    <w:name w:val="Unresolved Mention1"/>
    <w:basedOn w:val="DefaultParagraphFont"/>
    <w:uiPriority w:val="99"/>
    <w:rsid w:val="00557AAC"/>
    <w:rPr>
      <w:color w:val="605E5C"/>
      <w:shd w:val="clear" w:color="auto" w:fill="E1DFDD"/>
    </w:rPr>
  </w:style>
  <w:style w:type="paragraph" w:styleId="FootnoteText">
    <w:name w:val="footnote text"/>
    <w:basedOn w:val="Normal"/>
    <w:link w:val="FootnoteTextChar"/>
    <w:uiPriority w:val="99"/>
    <w:semiHidden/>
    <w:unhideWhenUsed/>
    <w:rsid w:val="00803B64"/>
    <w:rPr>
      <w:sz w:val="20"/>
      <w:szCs w:val="20"/>
    </w:rPr>
  </w:style>
  <w:style w:type="character" w:customStyle="1" w:styleId="FootnoteTextChar">
    <w:name w:val="Footnote Text Char"/>
    <w:basedOn w:val="DefaultParagraphFont"/>
    <w:link w:val="FootnoteText"/>
    <w:uiPriority w:val="99"/>
    <w:semiHidden/>
    <w:rsid w:val="00803B64"/>
    <w:rPr>
      <w:sz w:val="20"/>
      <w:szCs w:val="20"/>
    </w:rPr>
  </w:style>
  <w:style w:type="character" w:styleId="FootnoteReference">
    <w:name w:val="footnote reference"/>
    <w:basedOn w:val="DefaultParagraphFont"/>
    <w:uiPriority w:val="99"/>
    <w:semiHidden/>
    <w:unhideWhenUsed/>
    <w:rsid w:val="00803B64"/>
    <w:rPr>
      <w:vertAlign w:val="superscript"/>
    </w:rPr>
  </w:style>
  <w:style w:type="paragraph" w:styleId="BalloonText">
    <w:name w:val="Balloon Text"/>
    <w:basedOn w:val="Normal"/>
    <w:link w:val="BalloonTextChar"/>
    <w:uiPriority w:val="99"/>
    <w:semiHidden/>
    <w:unhideWhenUsed/>
    <w:rsid w:val="00752E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2E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55330">
      <w:bodyDiv w:val="1"/>
      <w:marLeft w:val="0"/>
      <w:marRight w:val="0"/>
      <w:marTop w:val="0"/>
      <w:marBottom w:val="0"/>
      <w:divBdr>
        <w:top w:val="none" w:sz="0" w:space="0" w:color="auto"/>
        <w:left w:val="none" w:sz="0" w:space="0" w:color="auto"/>
        <w:bottom w:val="none" w:sz="0" w:space="0" w:color="auto"/>
        <w:right w:val="none" w:sz="0" w:space="0" w:color="auto"/>
      </w:divBdr>
      <w:divsChild>
        <w:div w:id="904604078">
          <w:marLeft w:val="0"/>
          <w:marRight w:val="0"/>
          <w:marTop w:val="0"/>
          <w:marBottom w:val="0"/>
          <w:divBdr>
            <w:top w:val="none" w:sz="0" w:space="0" w:color="auto"/>
            <w:left w:val="none" w:sz="0" w:space="0" w:color="auto"/>
            <w:bottom w:val="none" w:sz="0" w:space="0" w:color="auto"/>
            <w:right w:val="none" w:sz="0" w:space="0" w:color="auto"/>
          </w:divBdr>
          <w:divsChild>
            <w:div w:id="1776444114">
              <w:marLeft w:val="0"/>
              <w:marRight w:val="0"/>
              <w:marTop w:val="0"/>
              <w:marBottom w:val="0"/>
              <w:divBdr>
                <w:top w:val="none" w:sz="0" w:space="0" w:color="auto"/>
                <w:left w:val="none" w:sz="0" w:space="0" w:color="auto"/>
                <w:bottom w:val="none" w:sz="0" w:space="0" w:color="auto"/>
                <w:right w:val="none" w:sz="0" w:space="0" w:color="auto"/>
              </w:divBdr>
              <w:divsChild>
                <w:div w:id="18501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81570">
      <w:bodyDiv w:val="1"/>
      <w:marLeft w:val="0"/>
      <w:marRight w:val="0"/>
      <w:marTop w:val="0"/>
      <w:marBottom w:val="0"/>
      <w:divBdr>
        <w:top w:val="none" w:sz="0" w:space="0" w:color="auto"/>
        <w:left w:val="none" w:sz="0" w:space="0" w:color="auto"/>
        <w:bottom w:val="none" w:sz="0" w:space="0" w:color="auto"/>
        <w:right w:val="none" w:sz="0" w:space="0" w:color="auto"/>
      </w:divBdr>
      <w:divsChild>
        <w:div w:id="19623164">
          <w:marLeft w:val="0"/>
          <w:marRight w:val="0"/>
          <w:marTop w:val="0"/>
          <w:marBottom w:val="0"/>
          <w:divBdr>
            <w:top w:val="none" w:sz="0" w:space="0" w:color="auto"/>
            <w:left w:val="none" w:sz="0" w:space="0" w:color="auto"/>
            <w:bottom w:val="none" w:sz="0" w:space="0" w:color="auto"/>
            <w:right w:val="none" w:sz="0" w:space="0" w:color="auto"/>
          </w:divBdr>
          <w:divsChild>
            <w:div w:id="500631993">
              <w:marLeft w:val="0"/>
              <w:marRight w:val="0"/>
              <w:marTop w:val="0"/>
              <w:marBottom w:val="0"/>
              <w:divBdr>
                <w:top w:val="none" w:sz="0" w:space="0" w:color="auto"/>
                <w:left w:val="none" w:sz="0" w:space="0" w:color="auto"/>
                <w:bottom w:val="none" w:sz="0" w:space="0" w:color="auto"/>
                <w:right w:val="none" w:sz="0" w:space="0" w:color="auto"/>
              </w:divBdr>
              <w:divsChild>
                <w:div w:id="13763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3856">
      <w:bodyDiv w:val="1"/>
      <w:marLeft w:val="0"/>
      <w:marRight w:val="0"/>
      <w:marTop w:val="0"/>
      <w:marBottom w:val="0"/>
      <w:divBdr>
        <w:top w:val="none" w:sz="0" w:space="0" w:color="auto"/>
        <w:left w:val="none" w:sz="0" w:space="0" w:color="auto"/>
        <w:bottom w:val="none" w:sz="0" w:space="0" w:color="auto"/>
        <w:right w:val="none" w:sz="0" w:space="0" w:color="auto"/>
      </w:divBdr>
      <w:divsChild>
        <w:div w:id="1228225124">
          <w:marLeft w:val="0"/>
          <w:marRight w:val="0"/>
          <w:marTop w:val="0"/>
          <w:marBottom w:val="0"/>
          <w:divBdr>
            <w:top w:val="none" w:sz="0" w:space="0" w:color="auto"/>
            <w:left w:val="none" w:sz="0" w:space="0" w:color="auto"/>
            <w:bottom w:val="none" w:sz="0" w:space="0" w:color="auto"/>
            <w:right w:val="none" w:sz="0" w:space="0" w:color="auto"/>
          </w:divBdr>
          <w:divsChild>
            <w:div w:id="2095783566">
              <w:marLeft w:val="0"/>
              <w:marRight w:val="0"/>
              <w:marTop w:val="0"/>
              <w:marBottom w:val="0"/>
              <w:divBdr>
                <w:top w:val="none" w:sz="0" w:space="0" w:color="auto"/>
                <w:left w:val="none" w:sz="0" w:space="0" w:color="auto"/>
                <w:bottom w:val="none" w:sz="0" w:space="0" w:color="auto"/>
                <w:right w:val="none" w:sz="0" w:space="0" w:color="auto"/>
              </w:divBdr>
              <w:divsChild>
                <w:div w:id="504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8622">
      <w:bodyDiv w:val="1"/>
      <w:marLeft w:val="0"/>
      <w:marRight w:val="0"/>
      <w:marTop w:val="0"/>
      <w:marBottom w:val="0"/>
      <w:divBdr>
        <w:top w:val="none" w:sz="0" w:space="0" w:color="auto"/>
        <w:left w:val="none" w:sz="0" w:space="0" w:color="auto"/>
        <w:bottom w:val="none" w:sz="0" w:space="0" w:color="auto"/>
        <w:right w:val="none" w:sz="0" w:space="0" w:color="auto"/>
      </w:divBdr>
      <w:divsChild>
        <w:div w:id="1168249752">
          <w:marLeft w:val="0"/>
          <w:marRight w:val="0"/>
          <w:marTop w:val="0"/>
          <w:marBottom w:val="0"/>
          <w:divBdr>
            <w:top w:val="none" w:sz="0" w:space="0" w:color="auto"/>
            <w:left w:val="none" w:sz="0" w:space="0" w:color="auto"/>
            <w:bottom w:val="none" w:sz="0" w:space="0" w:color="auto"/>
            <w:right w:val="none" w:sz="0" w:space="0" w:color="auto"/>
          </w:divBdr>
          <w:divsChild>
            <w:div w:id="1961454875">
              <w:marLeft w:val="0"/>
              <w:marRight w:val="0"/>
              <w:marTop w:val="0"/>
              <w:marBottom w:val="0"/>
              <w:divBdr>
                <w:top w:val="none" w:sz="0" w:space="0" w:color="auto"/>
                <w:left w:val="none" w:sz="0" w:space="0" w:color="auto"/>
                <w:bottom w:val="none" w:sz="0" w:space="0" w:color="auto"/>
                <w:right w:val="none" w:sz="0" w:space="0" w:color="auto"/>
              </w:divBdr>
              <w:divsChild>
                <w:div w:id="6229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82564">
      <w:bodyDiv w:val="1"/>
      <w:marLeft w:val="0"/>
      <w:marRight w:val="0"/>
      <w:marTop w:val="0"/>
      <w:marBottom w:val="0"/>
      <w:divBdr>
        <w:top w:val="none" w:sz="0" w:space="0" w:color="auto"/>
        <w:left w:val="none" w:sz="0" w:space="0" w:color="auto"/>
        <w:bottom w:val="none" w:sz="0" w:space="0" w:color="auto"/>
        <w:right w:val="none" w:sz="0" w:space="0" w:color="auto"/>
      </w:divBdr>
      <w:divsChild>
        <w:div w:id="1553879137">
          <w:marLeft w:val="0"/>
          <w:marRight w:val="0"/>
          <w:marTop w:val="0"/>
          <w:marBottom w:val="0"/>
          <w:divBdr>
            <w:top w:val="none" w:sz="0" w:space="0" w:color="auto"/>
            <w:left w:val="none" w:sz="0" w:space="0" w:color="auto"/>
            <w:bottom w:val="none" w:sz="0" w:space="0" w:color="auto"/>
            <w:right w:val="none" w:sz="0" w:space="0" w:color="auto"/>
          </w:divBdr>
          <w:divsChild>
            <w:div w:id="610280082">
              <w:marLeft w:val="0"/>
              <w:marRight w:val="0"/>
              <w:marTop w:val="0"/>
              <w:marBottom w:val="0"/>
              <w:divBdr>
                <w:top w:val="none" w:sz="0" w:space="0" w:color="auto"/>
                <w:left w:val="none" w:sz="0" w:space="0" w:color="auto"/>
                <w:bottom w:val="none" w:sz="0" w:space="0" w:color="auto"/>
                <w:right w:val="none" w:sz="0" w:space="0" w:color="auto"/>
              </w:divBdr>
              <w:divsChild>
                <w:div w:id="18842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5263">
      <w:bodyDiv w:val="1"/>
      <w:marLeft w:val="0"/>
      <w:marRight w:val="0"/>
      <w:marTop w:val="0"/>
      <w:marBottom w:val="0"/>
      <w:divBdr>
        <w:top w:val="none" w:sz="0" w:space="0" w:color="auto"/>
        <w:left w:val="none" w:sz="0" w:space="0" w:color="auto"/>
        <w:bottom w:val="none" w:sz="0" w:space="0" w:color="auto"/>
        <w:right w:val="none" w:sz="0" w:space="0" w:color="auto"/>
      </w:divBdr>
      <w:divsChild>
        <w:div w:id="1385451764">
          <w:marLeft w:val="0"/>
          <w:marRight w:val="0"/>
          <w:marTop w:val="0"/>
          <w:marBottom w:val="0"/>
          <w:divBdr>
            <w:top w:val="none" w:sz="0" w:space="0" w:color="auto"/>
            <w:left w:val="none" w:sz="0" w:space="0" w:color="auto"/>
            <w:bottom w:val="none" w:sz="0" w:space="0" w:color="auto"/>
            <w:right w:val="none" w:sz="0" w:space="0" w:color="auto"/>
          </w:divBdr>
          <w:divsChild>
            <w:div w:id="682629361">
              <w:marLeft w:val="0"/>
              <w:marRight w:val="0"/>
              <w:marTop w:val="0"/>
              <w:marBottom w:val="0"/>
              <w:divBdr>
                <w:top w:val="none" w:sz="0" w:space="0" w:color="auto"/>
                <w:left w:val="none" w:sz="0" w:space="0" w:color="auto"/>
                <w:bottom w:val="none" w:sz="0" w:space="0" w:color="auto"/>
                <w:right w:val="none" w:sz="0" w:space="0" w:color="auto"/>
              </w:divBdr>
              <w:divsChild>
                <w:div w:id="9220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81318">
      <w:bodyDiv w:val="1"/>
      <w:marLeft w:val="0"/>
      <w:marRight w:val="0"/>
      <w:marTop w:val="0"/>
      <w:marBottom w:val="0"/>
      <w:divBdr>
        <w:top w:val="none" w:sz="0" w:space="0" w:color="auto"/>
        <w:left w:val="none" w:sz="0" w:space="0" w:color="auto"/>
        <w:bottom w:val="none" w:sz="0" w:space="0" w:color="auto"/>
        <w:right w:val="none" w:sz="0" w:space="0" w:color="auto"/>
      </w:divBdr>
      <w:divsChild>
        <w:div w:id="1194155156">
          <w:marLeft w:val="0"/>
          <w:marRight w:val="0"/>
          <w:marTop w:val="0"/>
          <w:marBottom w:val="0"/>
          <w:divBdr>
            <w:top w:val="none" w:sz="0" w:space="0" w:color="auto"/>
            <w:left w:val="none" w:sz="0" w:space="0" w:color="auto"/>
            <w:bottom w:val="none" w:sz="0" w:space="0" w:color="auto"/>
            <w:right w:val="none" w:sz="0" w:space="0" w:color="auto"/>
          </w:divBdr>
          <w:divsChild>
            <w:div w:id="1977837827">
              <w:marLeft w:val="0"/>
              <w:marRight w:val="0"/>
              <w:marTop w:val="0"/>
              <w:marBottom w:val="0"/>
              <w:divBdr>
                <w:top w:val="none" w:sz="0" w:space="0" w:color="auto"/>
                <w:left w:val="none" w:sz="0" w:space="0" w:color="auto"/>
                <w:bottom w:val="none" w:sz="0" w:space="0" w:color="auto"/>
                <w:right w:val="none" w:sz="0" w:space="0" w:color="auto"/>
              </w:divBdr>
              <w:divsChild>
                <w:div w:id="2609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4273">
      <w:bodyDiv w:val="1"/>
      <w:marLeft w:val="0"/>
      <w:marRight w:val="0"/>
      <w:marTop w:val="0"/>
      <w:marBottom w:val="0"/>
      <w:divBdr>
        <w:top w:val="none" w:sz="0" w:space="0" w:color="auto"/>
        <w:left w:val="none" w:sz="0" w:space="0" w:color="auto"/>
        <w:bottom w:val="none" w:sz="0" w:space="0" w:color="auto"/>
        <w:right w:val="none" w:sz="0" w:space="0" w:color="auto"/>
      </w:divBdr>
      <w:divsChild>
        <w:div w:id="1632401752">
          <w:marLeft w:val="0"/>
          <w:marRight w:val="0"/>
          <w:marTop w:val="0"/>
          <w:marBottom w:val="0"/>
          <w:divBdr>
            <w:top w:val="none" w:sz="0" w:space="0" w:color="auto"/>
            <w:left w:val="none" w:sz="0" w:space="0" w:color="auto"/>
            <w:bottom w:val="none" w:sz="0" w:space="0" w:color="auto"/>
            <w:right w:val="none" w:sz="0" w:space="0" w:color="auto"/>
          </w:divBdr>
          <w:divsChild>
            <w:div w:id="450634957">
              <w:marLeft w:val="0"/>
              <w:marRight w:val="0"/>
              <w:marTop w:val="0"/>
              <w:marBottom w:val="0"/>
              <w:divBdr>
                <w:top w:val="none" w:sz="0" w:space="0" w:color="auto"/>
                <w:left w:val="none" w:sz="0" w:space="0" w:color="auto"/>
                <w:bottom w:val="none" w:sz="0" w:space="0" w:color="auto"/>
                <w:right w:val="none" w:sz="0" w:space="0" w:color="auto"/>
              </w:divBdr>
              <w:divsChild>
                <w:div w:id="19652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0808">
      <w:bodyDiv w:val="1"/>
      <w:marLeft w:val="0"/>
      <w:marRight w:val="0"/>
      <w:marTop w:val="0"/>
      <w:marBottom w:val="0"/>
      <w:divBdr>
        <w:top w:val="none" w:sz="0" w:space="0" w:color="auto"/>
        <w:left w:val="none" w:sz="0" w:space="0" w:color="auto"/>
        <w:bottom w:val="none" w:sz="0" w:space="0" w:color="auto"/>
        <w:right w:val="none" w:sz="0" w:space="0" w:color="auto"/>
      </w:divBdr>
      <w:divsChild>
        <w:div w:id="2041586843">
          <w:marLeft w:val="0"/>
          <w:marRight w:val="0"/>
          <w:marTop w:val="0"/>
          <w:marBottom w:val="0"/>
          <w:divBdr>
            <w:top w:val="none" w:sz="0" w:space="0" w:color="auto"/>
            <w:left w:val="none" w:sz="0" w:space="0" w:color="auto"/>
            <w:bottom w:val="none" w:sz="0" w:space="0" w:color="auto"/>
            <w:right w:val="none" w:sz="0" w:space="0" w:color="auto"/>
          </w:divBdr>
          <w:divsChild>
            <w:div w:id="885527046">
              <w:marLeft w:val="0"/>
              <w:marRight w:val="0"/>
              <w:marTop w:val="0"/>
              <w:marBottom w:val="0"/>
              <w:divBdr>
                <w:top w:val="none" w:sz="0" w:space="0" w:color="auto"/>
                <w:left w:val="none" w:sz="0" w:space="0" w:color="auto"/>
                <w:bottom w:val="none" w:sz="0" w:space="0" w:color="auto"/>
                <w:right w:val="none" w:sz="0" w:space="0" w:color="auto"/>
              </w:divBdr>
              <w:divsChild>
                <w:div w:id="11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9126">
      <w:bodyDiv w:val="1"/>
      <w:marLeft w:val="0"/>
      <w:marRight w:val="0"/>
      <w:marTop w:val="0"/>
      <w:marBottom w:val="0"/>
      <w:divBdr>
        <w:top w:val="none" w:sz="0" w:space="0" w:color="auto"/>
        <w:left w:val="none" w:sz="0" w:space="0" w:color="auto"/>
        <w:bottom w:val="none" w:sz="0" w:space="0" w:color="auto"/>
        <w:right w:val="none" w:sz="0" w:space="0" w:color="auto"/>
      </w:divBdr>
      <w:divsChild>
        <w:div w:id="734163105">
          <w:marLeft w:val="0"/>
          <w:marRight w:val="0"/>
          <w:marTop w:val="0"/>
          <w:marBottom w:val="0"/>
          <w:divBdr>
            <w:top w:val="none" w:sz="0" w:space="0" w:color="auto"/>
            <w:left w:val="none" w:sz="0" w:space="0" w:color="auto"/>
            <w:bottom w:val="none" w:sz="0" w:space="0" w:color="auto"/>
            <w:right w:val="none" w:sz="0" w:space="0" w:color="auto"/>
          </w:divBdr>
          <w:divsChild>
            <w:div w:id="1600866867">
              <w:marLeft w:val="0"/>
              <w:marRight w:val="0"/>
              <w:marTop w:val="0"/>
              <w:marBottom w:val="0"/>
              <w:divBdr>
                <w:top w:val="none" w:sz="0" w:space="0" w:color="auto"/>
                <w:left w:val="none" w:sz="0" w:space="0" w:color="auto"/>
                <w:bottom w:val="none" w:sz="0" w:space="0" w:color="auto"/>
                <w:right w:val="none" w:sz="0" w:space="0" w:color="auto"/>
              </w:divBdr>
              <w:divsChild>
                <w:div w:id="15226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30918">
      <w:bodyDiv w:val="1"/>
      <w:marLeft w:val="0"/>
      <w:marRight w:val="0"/>
      <w:marTop w:val="0"/>
      <w:marBottom w:val="0"/>
      <w:divBdr>
        <w:top w:val="none" w:sz="0" w:space="0" w:color="auto"/>
        <w:left w:val="none" w:sz="0" w:space="0" w:color="auto"/>
        <w:bottom w:val="none" w:sz="0" w:space="0" w:color="auto"/>
        <w:right w:val="none" w:sz="0" w:space="0" w:color="auto"/>
      </w:divBdr>
      <w:divsChild>
        <w:div w:id="728188796">
          <w:marLeft w:val="0"/>
          <w:marRight w:val="0"/>
          <w:marTop w:val="0"/>
          <w:marBottom w:val="0"/>
          <w:divBdr>
            <w:top w:val="none" w:sz="0" w:space="0" w:color="auto"/>
            <w:left w:val="none" w:sz="0" w:space="0" w:color="auto"/>
            <w:bottom w:val="none" w:sz="0" w:space="0" w:color="auto"/>
            <w:right w:val="none" w:sz="0" w:space="0" w:color="auto"/>
          </w:divBdr>
          <w:divsChild>
            <w:div w:id="2125270198">
              <w:marLeft w:val="0"/>
              <w:marRight w:val="0"/>
              <w:marTop w:val="0"/>
              <w:marBottom w:val="0"/>
              <w:divBdr>
                <w:top w:val="none" w:sz="0" w:space="0" w:color="auto"/>
                <w:left w:val="none" w:sz="0" w:space="0" w:color="auto"/>
                <w:bottom w:val="none" w:sz="0" w:space="0" w:color="auto"/>
                <w:right w:val="none" w:sz="0" w:space="0" w:color="auto"/>
              </w:divBdr>
              <w:divsChild>
                <w:div w:id="203202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3071">
      <w:bodyDiv w:val="1"/>
      <w:marLeft w:val="0"/>
      <w:marRight w:val="0"/>
      <w:marTop w:val="0"/>
      <w:marBottom w:val="0"/>
      <w:divBdr>
        <w:top w:val="none" w:sz="0" w:space="0" w:color="auto"/>
        <w:left w:val="none" w:sz="0" w:space="0" w:color="auto"/>
        <w:bottom w:val="none" w:sz="0" w:space="0" w:color="auto"/>
        <w:right w:val="none" w:sz="0" w:space="0" w:color="auto"/>
      </w:divBdr>
      <w:divsChild>
        <w:div w:id="128213392">
          <w:marLeft w:val="0"/>
          <w:marRight w:val="0"/>
          <w:marTop w:val="0"/>
          <w:marBottom w:val="0"/>
          <w:divBdr>
            <w:top w:val="none" w:sz="0" w:space="0" w:color="auto"/>
            <w:left w:val="none" w:sz="0" w:space="0" w:color="auto"/>
            <w:bottom w:val="none" w:sz="0" w:space="0" w:color="auto"/>
            <w:right w:val="none" w:sz="0" w:space="0" w:color="auto"/>
          </w:divBdr>
          <w:divsChild>
            <w:div w:id="1349939785">
              <w:marLeft w:val="0"/>
              <w:marRight w:val="0"/>
              <w:marTop w:val="0"/>
              <w:marBottom w:val="0"/>
              <w:divBdr>
                <w:top w:val="none" w:sz="0" w:space="0" w:color="auto"/>
                <w:left w:val="none" w:sz="0" w:space="0" w:color="auto"/>
                <w:bottom w:val="none" w:sz="0" w:space="0" w:color="auto"/>
                <w:right w:val="none" w:sz="0" w:space="0" w:color="auto"/>
              </w:divBdr>
              <w:divsChild>
                <w:div w:id="1200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38877">
      <w:bodyDiv w:val="1"/>
      <w:marLeft w:val="0"/>
      <w:marRight w:val="0"/>
      <w:marTop w:val="0"/>
      <w:marBottom w:val="0"/>
      <w:divBdr>
        <w:top w:val="none" w:sz="0" w:space="0" w:color="auto"/>
        <w:left w:val="none" w:sz="0" w:space="0" w:color="auto"/>
        <w:bottom w:val="none" w:sz="0" w:space="0" w:color="auto"/>
        <w:right w:val="none" w:sz="0" w:space="0" w:color="auto"/>
      </w:divBdr>
      <w:divsChild>
        <w:div w:id="1527059694">
          <w:marLeft w:val="0"/>
          <w:marRight w:val="0"/>
          <w:marTop w:val="0"/>
          <w:marBottom w:val="0"/>
          <w:divBdr>
            <w:top w:val="none" w:sz="0" w:space="0" w:color="auto"/>
            <w:left w:val="none" w:sz="0" w:space="0" w:color="auto"/>
            <w:bottom w:val="none" w:sz="0" w:space="0" w:color="auto"/>
            <w:right w:val="none" w:sz="0" w:space="0" w:color="auto"/>
          </w:divBdr>
          <w:divsChild>
            <w:div w:id="333075578">
              <w:marLeft w:val="0"/>
              <w:marRight w:val="0"/>
              <w:marTop w:val="0"/>
              <w:marBottom w:val="0"/>
              <w:divBdr>
                <w:top w:val="none" w:sz="0" w:space="0" w:color="auto"/>
                <w:left w:val="none" w:sz="0" w:space="0" w:color="auto"/>
                <w:bottom w:val="none" w:sz="0" w:space="0" w:color="auto"/>
                <w:right w:val="none" w:sz="0" w:space="0" w:color="auto"/>
              </w:divBdr>
              <w:divsChild>
                <w:div w:id="1485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reporting.org/standards/media/2160/public-comment-form-exposure-draft-standard-for-tax-and-payments-to-governmen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ctar.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53D4-F532-401F-8E31-7A957598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Ward</dc:creator>
  <cp:keywords/>
  <dc:description/>
  <cp:lastModifiedBy>Hugues Letourneau</cp:lastModifiedBy>
  <cp:revision>3</cp:revision>
  <dcterms:created xsi:type="dcterms:W3CDTF">2019-02-05T19:27:00Z</dcterms:created>
  <dcterms:modified xsi:type="dcterms:W3CDTF">2019-02-05T19:28:00Z</dcterms:modified>
</cp:coreProperties>
</file>